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3"/>
        <w:tblW w:w="1400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/>
      </w:tblPr>
      <w:tblGrid>
        <w:gridCol w:w="3978"/>
        <w:gridCol w:w="3960"/>
        <w:gridCol w:w="3031"/>
        <w:gridCol w:w="3031"/>
      </w:tblGrid>
      <w:tr w:rsidR="00583C63" w:rsidRPr="002C690D">
        <w:trPr>
          <w:trHeight w:val="321"/>
        </w:trPr>
        <w:tc>
          <w:tcPr>
            <w:tcW w:w="14000" w:type="dxa"/>
            <w:gridSpan w:val="4"/>
          </w:tcPr>
          <w:p w:rsidR="00583C63" w:rsidRPr="002C690D" w:rsidRDefault="00583C63" w:rsidP="00AE2AF2">
            <w:pPr>
              <w:rPr>
                <w:b/>
                <w:bCs/>
                <w:lang w:val="en-US"/>
              </w:rPr>
            </w:pPr>
            <w:r w:rsidRPr="002C690D">
              <w:rPr>
                <w:b/>
                <w:bCs/>
                <w:sz w:val="22"/>
                <w:szCs w:val="22"/>
                <w:lang w:val="en-US"/>
              </w:rPr>
              <w:t xml:space="preserve">Strategic objective 1: Strengthening of the  gender perspective in the formulation and implementation of the peace, security and defense policy of the Republic of Macedonia </w:t>
            </w:r>
          </w:p>
          <w:p w:rsidR="00583C63" w:rsidRPr="002C690D" w:rsidRDefault="00583C63" w:rsidP="00AE2AF2">
            <w:pPr>
              <w:rPr>
                <w:b/>
                <w:bCs/>
                <w:lang w:val="mk-MK" w:eastAsia="en-US"/>
              </w:rPr>
            </w:pPr>
          </w:p>
        </w:tc>
      </w:tr>
      <w:tr w:rsidR="00583C63" w:rsidRPr="002C690D">
        <w:trPr>
          <w:trHeight w:val="556"/>
        </w:trPr>
        <w:tc>
          <w:tcPr>
            <w:tcW w:w="3978" w:type="dxa"/>
            <w:shd w:val="clear" w:color="auto" w:fill="E6EED5"/>
          </w:tcPr>
          <w:p w:rsidR="00583C63" w:rsidRPr="002C690D" w:rsidRDefault="00583C63" w:rsidP="00D02402">
            <w:pPr>
              <w:jc w:val="center"/>
              <w:rPr>
                <w:lang w:val="hr-HR" w:eastAsia="en-US"/>
              </w:rPr>
            </w:pPr>
            <w:r w:rsidRPr="002C690D">
              <w:rPr>
                <w:sz w:val="22"/>
                <w:szCs w:val="22"/>
                <w:lang w:val="mk-MK" w:eastAsia="en-US"/>
              </w:rPr>
              <w:t xml:space="preserve"> </w:t>
            </w:r>
            <w:r w:rsidRPr="002C690D">
              <w:rPr>
                <w:sz w:val="22"/>
                <w:szCs w:val="22"/>
                <w:lang w:val="hr-HR" w:eastAsia="en-US"/>
              </w:rPr>
              <w:t>Result</w:t>
            </w:r>
          </w:p>
          <w:p w:rsidR="00583C63" w:rsidRPr="002C690D" w:rsidRDefault="00583C63" w:rsidP="00D02402">
            <w:pPr>
              <w:jc w:val="center"/>
              <w:rPr>
                <w:lang w:val="mk-MK" w:eastAsia="en-US"/>
              </w:rPr>
            </w:pPr>
          </w:p>
        </w:tc>
        <w:tc>
          <w:tcPr>
            <w:tcW w:w="3960" w:type="dxa"/>
            <w:shd w:val="clear" w:color="auto" w:fill="E6EED5"/>
          </w:tcPr>
          <w:p w:rsidR="00583C63" w:rsidRPr="002C690D" w:rsidRDefault="00583C63" w:rsidP="00D02402">
            <w:pPr>
              <w:jc w:val="center"/>
              <w:rPr>
                <w:lang w:val="hr-HR" w:eastAsia="en-US"/>
              </w:rPr>
            </w:pPr>
            <w:r w:rsidRPr="002C690D">
              <w:rPr>
                <w:sz w:val="22"/>
                <w:szCs w:val="22"/>
                <w:lang w:val="hr-HR" w:eastAsia="en-US"/>
              </w:rPr>
              <w:t>Activities</w:t>
            </w:r>
          </w:p>
          <w:p w:rsidR="00583C63" w:rsidRPr="002C690D" w:rsidRDefault="00583C63" w:rsidP="00D02402">
            <w:pPr>
              <w:jc w:val="center"/>
              <w:rPr>
                <w:lang w:val="mk-MK" w:eastAsia="en-US"/>
              </w:rPr>
            </w:pPr>
          </w:p>
        </w:tc>
        <w:tc>
          <w:tcPr>
            <w:tcW w:w="3031" w:type="dxa"/>
            <w:shd w:val="clear" w:color="auto" w:fill="E6EED5"/>
          </w:tcPr>
          <w:p w:rsidR="00583C63" w:rsidRPr="002C690D" w:rsidRDefault="00583C63" w:rsidP="00D02402">
            <w:pPr>
              <w:jc w:val="center"/>
              <w:rPr>
                <w:noProof/>
                <w:lang w:val="hr-HR" w:eastAsia="en-US"/>
              </w:rPr>
            </w:pPr>
            <w:r w:rsidRPr="002C690D">
              <w:rPr>
                <w:noProof/>
                <w:sz w:val="22"/>
                <w:szCs w:val="22"/>
                <w:lang w:val="hr-HR" w:eastAsia="en-US"/>
              </w:rPr>
              <w:t>Indicator</w:t>
            </w:r>
          </w:p>
        </w:tc>
        <w:tc>
          <w:tcPr>
            <w:tcW w:w="3031" w:type="dxa"/>
            <w:shd w:val="clear" w:color="auto" w:fill="E6EED5"/>
          </w:tcPr>
          <w:p w:rsidR="00583C63" w:rsidRPr="002C690D" w:rsidRDefault="00583C63" w:rsidP="00D02402">
            <w:pPr>
              <w:jc w:val="center"/>
              <w:rPr>
                <w:noProof/>
                <w:lang w:val="hr-HR" w:eastAsia="en-US"/>
              </w:rPr>
            </w:pPr>
            <w:r w:rsidRPr="002C690D">
              <w:rPr>
                <w:noProof/>
                <w:sz w:val="22"/>
                <w:szCs w:val="22"/>
                <w:lang w:val="hr-HR" w:eastAsia="en-US"/>
              </w:rPr>
              <w:t>Time frame</w:t>
            </w:r>
          </w:p>
        </w:tc>
      </w:tr>
      <w:tr w:rsidR="00583C63" w:rsidRPr="002C690D">
        <w:trPr>
          <w:trHeight w:val="1195"/>
        </w:trPr>
        <w:tc>
          <w:tcPr>
            <w:tcW w:w="3978" w:type="dxa"/>
          </w:tcPr>
          <w:p w:rsidR="00583C63" w:rsidRPr="002C690D" w:rsidRDefault="00583C63" w:rsidP="00D02402">
            <w:pPr>
              <w:rPr>
                <w:lang w:val="mk-MK" w:eastAsia="en-US"/>
              </w:rPr>
            </w:pPr>
            <w:r w:rsidRPr="002C690D">
              <w:rPr>
                <w:sz w:val="22"/>
                <w:szCs w:val="22"/>
                <w:lang w:val="mk-MK" w:eastAsia="en-US"/>
              </w:rPr>
              <w:t xml:space="preserve">1.1 </w:t>
            </w:r>
            <w:r w:rsidRPr="002C690D">
              <w:rPr>
                <w:sz w:val="22"/>
                <w:szCs w:val="22"/>
                <w:lang w:val="en-US" w:eastAsia="en-US"/>
              </w:rPr>
              <w:t xml:space="preserve">Increased participation of national institutions in international activities and cooperation with international organizations for implementation of Res.1325 and relevant resolutions  </w:t>
            </w:r>
          </w:p>
        </w:tc>
        <w:tc>
          <w:tcPr>
            <w:tcW w:w="3960" w:type="dxa"/>
            <w:shd w:val="clear" w:color="auto" w:fill="E6EED5"/>
          </w:tcPr>
          <w:p w:rsidR="00583C63" w:rsidRPr="002C690D" w:rsidRDefault="00583C63" w:rsidP="00EE4BEF">
            <w:pPr>
              <w:rPr>
                <w:lang w:val="en-US" w:eastAsia="en-US"/>
              </w:rPr>
            </w:pPr>
            <w:r w:rsidRPr="002C690D">
              <w:rPr>
                <w:sz w:val="22"/>
                <w:szCs w:val="22"/>
              </w:rPr>
              <w:t>-</w:t>
            </w:r>
            <w:r w:rsidRPr="002C690D">
              <w:rPr>
                <w:sz w:val="22"/>
                <w:szCs w:val="22"/>
                <w:lang w:val="hr-HR" w:eastAsia="en-US"/>
              </w:rPr>
              <w:t>T</w:t>
            </w:r>
            <w:r w:rsidRPr="002C690D">
              <w:rPr>
                <w:sz w:val="22"/>
                <w:szCs w:val="22"/>
                <w:lang w:val="mk-MK" w:eastAsia="en-US"/>
              </w:rPr>
              <w:t>raining</w:t>
            </w:r>
            <w:r w:rsidRPr="002C690D">
              <w:rPr>
                <w:sz w:val="22"/>
                <w:szCs w:val="22"/>
                <w:lang w:val="hr-HR" w:eastAsia="en-US"/>
              </w:rPr>
              <w:t>s on</w:t>
            </w:r>
            <w:r w:rsidRPr="002C690D">
              <w:rPr>
                <w:sz w:val="22"/>
                <w:szCs w:val="22"/>
                <w:lang w:val="mk-MK" w:eastAsia="en-US"/>
              </w:rPr>
              <w:t xml:space="preserve"> strategies for implementation of Re</w:t>
            </w:r>
            <w:r w:rsidRPr="002C690D">
              <w:rPr>
                <w:sz w:val="22"/>
                <w:szCs w:val="22"/>
                <w:lang w:val="hr-HR" w:eastAsia="en-US"/>
              </w:rPr>
              <w:t>solution</w:t>
            </w:r>
            <w:r w:rsidRPr="002C690D">
              <w:rPr>
                <w:sz w:val="22"/>
                <w:szCs w:val="22"/>
                <w:lang w:val="mk-MK" w:eastAsia="en-US"/>
              </w:rPr>
              <w:t xml:space="preserve">1325 within the </w:t>
            </w:r>
            <w:r w:rsidRPr="002C690D">
              <w:rPr>
                <w:sz w:val="22"/>
                <w:szCs w:val="22"/>
                <w:lang w:val="hr-HR" w:eastAsia="en-US"/>
              </w:rPr>
              <w:t>C</w:t>
            </w:r>
            <w:r w:rsidRPr="002C690D">
              <w:rPr>
                <w:sz w:val="22"/>
                <w:szCs w:val="22"/>
                <w:lang w:val="mk-MK" w:eastAsia="en-US"/>
              </w:rPr>
              <w:t>omprehensive approach of the EU and ESDP (2008)</w:t>
            </w:r>
          </w:p>
          <w:p w:rsidR="00583C63" w:rsidRPr="002C690D" w:rsidRDefault="00583C63" w:rsidP="00EE4BEF">
            <w:pPr>
              <w:rPr>
                <w:lang w:val="en-US" w:eastAsia="en-US"/>
              </w:rPr>
            </w:pPr>
          </w:p>
          <w:p w:rsidR="00583C63" w:rsidRPr="002C690D" w:rsidRDefault="00583C63" w:rsidP="00EE4BEF">
            <w:pPr>
              <w:rPr>
                <w:lang w:val="hr-HR" w:eastAsia="en-US"/>
              </w:rPr>
            </w:pPr>
            <w:r w:rsidRPr="002C690D">
              <w:rPr>
                <w:sz w:val="22"/>
                <w:szCs w:val="22"/>
                <w:lang w:val="hr-HR" w:eastAsia="en-US"/>
              </w:rPr>
              <w:t>-T</w:t>
            </w:r>
            <w:r w:rsidRPr="002C690D">
              <w:rPr>
                <w:sz w:val="22"/>
                <w:szCs w:val="22"/>
                <w:lang w:val="mk-MK" w:eastAsia="en-US"/>
              </w:rPr>
              <w:t>raining</w:t>
            </w:r>
            <w:r w:rsidRPr="002C690D">
              <w:rPr>
                <w:sz w:val="22"/>
                <w:szCs w:val="22"/>
                <w:lang w:val="hr-HR" w:eastAsia="en-US"/>
              </w:rPr>
              <w:t xml:space="preserve">s on the adoption of sensistive </w:t>
            </w:r>
            <w:r w:rsidRPr="002C690D">
              <w:rPr>
                <w:sz w:val="22"/>
                <w:szCs w:val="22"/>
                <w:lang w:val="en-US" w:eastAsia="en-US"/>
              </w:rPr>
              <w:t xml:space="preserve"> R</w:t>
            </w:r>
            <w:r w:rsidRPr="002C690D">
              <w:rPr>
                <w:sz w:val="22"/>
                <w:szCs w:val="22"/>
                <w:lang w:val="ru-RU" w:eastAsia="en-US"/>
              </w:rPr>
              <w:t>2</w:t>
            </w:r>
            <w:r w:rsidRPr="002C690D">
              <w:rPr>
                <w:sz w:val="22"/>
                <w:szCs w:val="22"/>
                <w:lang w:val="mk-MK" w:eastAsia="en-US"/>
              </w:rPr>
              <w:t xml:space="preserve"> </w:t>
            </w:r>
            <w:r w:rsidRPr="002C690D">
              <w:rPr>
                <w:sz w:val="22"/>
                <w:szCs w:val="22"/>
                <w:lang w:val="en-US" w:eastAsia="en-US"/>
              </w:rPr>
              <w:t>r</w:t>
            </w:r>
            <w:r w:rsidRPr="002C690D">
              <w:rPr>
                <w:rStyle w:val="FootnoteReference"/>
                <w:sz w:val="22"/>
                <w:szCs w:val="22"/>
                <w:lang w:val="en-US" w:eastAsia="en-US"/>
              </w:rPr>
              <w:footnoteReference w:id="1"/>
            </w:r>
            <w:r w:rsidRPr="002C690D">
              <w:rPr>
                <w:sz w:val="22"/>
                <w:szCs w:val="22"/>
                <w:lang w:val="mk-MK" w:eastAsia="en-US"/>
              </w:rPr>
              <w:t xml:space="preserve"> </w:t>
            </w:r>
            <w:r w:rsidRPr="002C690D">
              <w:rPr>
                <w:sz w:val="22"/>
                <w:szCs w:val="22"/>
                <w:lang w:val="en-US" w:eastAsia="en-US"/>
              </w:rPr>
              <w:t>participation/</w:t>
            </w:r>
            <w:r w:rsidRPr="002C690D">
              <w:rPr>
                <w:sz w:val="22"/>
                <w:szCs w:val="22"/>
                <w:lang w:val="mk-MK" w:eastAsia="en-US"/>
              </w:rPr>
              <w:t>events associated with Res. 1325 and related resolutions</w:t>
            </w:r>
          </w:p>
          <w:p w:rsidR="00583C63" w:rsidRPr="002C690D" w:rsidRDefault="00583C63" w:rsidP="00D2413F">
            <w:pPr>
              <w:rPr>
                <w:lang w:val="ru-RU" w:eastAsia="en-US"/>
              </w:rPr>
            </w:pPr>
            <w:r w:rsidRPr="002C690D">
              <w:rPr>
                <w:sz w:val="22"/>
                <w:szCs w:val="22"/>
                <w:lang w:val="ru-RU" w:eastAsia="en-US"/>
              </w:rPr>
              <w:t xml:space="preserve"> </w:t>
            </w:r>
          </w:p>
          <w:p w:rsidR="00583C63" w:rsidRPr="002C690D" w:rsidRDefault="00583C63" w:rsidP="00B87A90">
            <w:pPr>
              <w:rPr>
                <w:lang w:val="ru-RU" w:eastAsia="en-US"/>
              </w:rPr>
            </w:pPr>
            <w:r w:rsidRPr="002C690D">
              <w:rPr>
                <w:sz w:val="22"/>
                <w:szCs w:val="22"/>
                <w:lang w:val="en-US" w:eastAsia="en-US"/>
              </w:rPr>
              <w:t>- T</w:t>
            </w:r>
            <w:r w:rsidRPr="002C690D">
              <w:rPr>
                <w:sz w:val="22"/>
                <w:szCs w:val="22"/>
                <w:lang w:val="ru-RU" w:eastAsia="en-US"/>
              </w:rPr>
              <w:t>raining</w:t>
            </w:r>
            <w:r w:rsidRPr="002C690D">
              <w:rPr>
                <w:sz w:val="22"/>
                <w:szCs w:val="22"/>
                <w:lang w:val="en-US" w:eastAsia="en-US"/>
              </w:rPr>
              <w:t>s</w:t>
            </w:r>
            <w:r w:rsidRPr="002C690D">
              <w:rPr>
                <w:sz w:val="22"/>
                <w:szCs w:val="22"/>
                <w:lang w:val="ru-RU" w:eastAsia="en-US"/>
              </w:rPr>
              <w:t xml:space="preserve">  </w:t>
            </w:r>
            <w:r w:rsidRPr="002C690D">
              <w:rPr>
                <w:sz w:val="22"/>
                <w:szCs w:val="22"/>
                <w:lang w:val="en-US" w:eastAsia="en-US"/>
              </w:rPr>
              <w:t>on g</w:t>
            </w:r>
            <w:r w:rsidRPr="002C690D">
              <w:rPr>
                <w:sz w:val="22"/>
                <w:szCs w:val="22"/>
                <w:lang w:val="ru-RU" w:eastAsia="en-US"/>
              </w:rPr>
              <w:t xml:space="preserve">ender issues and Res. 1325for </w:t>
            </w:r>
            <w:r w:rsidRPr="002C690D">
              <w:rPr>
                <w:sz w:val="22"/>
                <w:szCs w:val="22"/>
                <w:lang w:val="en-US" w:eastAsia="en-US"/>
              </w:rPr>
              <w:t>high</w:t>
            </w:r>
            <w:r w:rsidRPr="002C690D">
              <w:rPr>
                <w:sz w:val="22"/>
                <w:szCs w:val="22"/>
                <w:lang w:val="ru-RU" w:eastAsia="en-US"/>
              </w:rPr>
              <w:t xml:space="preserve"> and middle management from relevant institutions  </w:t>
            </w:r>
          </w:p>
        </w:tc>
        <w:tc>
          <w:tcPr>
            <w:tcW w:w="3031" w:type="dxa"/>
            <w:shd w:val="clear" w:color="auto" w:fill="E6EED5"/>
          </w:tcPr>
          <w:p w:rsidR="00583C63" w:rsidRPr="002C690D" w:rsidRDefault="00583C63" w:rsidP="00B40A5E">
            <w:pPr>
              <w:rPr>
                <w:noProof/>
                <w:lang w:val="en-US" w:eastAsia="en-US"/>
              </w:rPr>
            </w:pPr>
            <w:r w:rsidRPr="002C690D">
              <w:rPr>
                <w:noProof/>
                <w:sz w:val="22"/>
                <w:szCs w:val="22"/>
                <w:lang w:val="en-US" w:eastAsia="en-US"/>
              </w:rPr>
              <w:t>- number/profile of  implemented projects and activities;</w:t>
            </w:r>
          </w:p>
          <w:p w:rsidR="00583C63" w:rsidRPr="002C690D" w:rsidRDefault="00583C63" w:rsidP="00B40A5E">
            <w:pPr>
              <w:rPr>
                <w:noProof/>
                <w:lang w:val="en-US" w:eastAsia="en-US"/>
              </w:rPr>
            </w:pPr>
          </w:p>
          <w:p w:rsidR="00583C63" w:rsidRPr="002C690D" w:rsidRDefault="00583C63" w:rsidP="00B40A5E">
            <w:pPr>
              <w:rPr>
                <w:noProof/>
                <w:lang w:val="en-US" w:eastAsia="en-US"/>
              </w:rPr>
            </w:pPr>
            <w:r w:rsidRPr="002C690D">
              <w:rPr>
                <w:noProof/>
                <w:sz w:val="22"/>
                <w:szCs w:val="22"/>
                <w:lang w:val="en-US" w:eastAsia="en-US"/>
              </w:rPr>
              <w:t>-number/type of  implemented trainings (men, women, rank, training)</w:t>
            </w:r>
          </w:p>
          <w:p w:rsidR="00583C63" w:rsidRPr="002C690D" w:rsidRDefault="00583C63" w:rsidP="00C866E5">
            <w:pPr>
              <w:rPr>
                <w:noProof/>
                <w:lang w:val="en-US" w:eastAsia="en-US"/>
              </w:rPr>
            </w:pPr>
          </w:p>
          <w:p w:rsidR="00583C63" w:rsidRPr="002C690D" w:rsidRDefault="00583C63" w:rsidP="00C866E5">
            <w:pPr>
              <w:rPr>
                <w:noProof/>
                <w:lang w:val="mk-MK" w:eastAsia="en-US"/>
              </w:rPr>
            </w:pPr>
            <w:r w:rsidRPr="002C690D">
              <w:rPr>
                <w:noProof/>
                <w:sz w:val="22"/>
                <w:szCs w:val="22"/>
                <w:lang w:val="mk-MK" w:eastAsia="en-US"/>
              </w:rPr>
              <w:t>-</w:t>
            </w:r>
            <w:r w:rsidRPr="002C690D">
              <w:t xml:space="preserve"> 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 xml:space="preserve">proposed and adopted  initiatives for </w:t>
            </w:r>
            <w:r w:rsidRPr="002C690D">
              <w:rPr>
                <w:noProof/>
                <w:sz w:val="22"/>
                <w:szCs w:val="22"/>
                <w:lang w:val="en-US" w:eastAsia="en-US"/>
              </w:rPr>
              <w:t xml:space="preserve">gender sensitive 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>mediation and dialogue;</w:t>
            </w:r>
          </w:p>
          <w:p w:rsidR="00583C63" w:rsidRPr="002C690D" w:rsidRDefault="00583C63" w:rsidP="00D02402">
            <w:pPr>
              <w:rPr>
                <w:noProof/>
                <w:lang w:val="mk-MK" w:eastAsia="en-US"/>
              </w:rPr>
            </w:pPr>
          </w:p>
        </w:tc>
        <w:tc>
          <w:tcPr>
            <w:tcW w:w="3031" w:type="dxa"/>
            <w:shd w:val="clear" w:color="auto" w:fill="E6EED5"/>
          </w:tcPr>
          <w:p w:rsidR="00583C63" w:rsidRPr="002C690D" w:rsidRDefault="00583C63" w:rsidP="00D02402">
            <w:pPr>
              <w:rPr>
                <w:noProof/>
                <w:lang w:val="mk-MK" w:eastAsia="en-US"/>
              </w:rPr>
            </w:pPr>
          </w:p>
          <w:p w:rsidR="00583C63" w:rsidRPr="002C690D" w:rsidRDefault="00583C63" w:rsidP="00C866E5">
            <w:pPr>
              <w:rPr>
                <w:noProof/>
                <w:lang w:val="mk-MK" w:eastAsia="en-US"/>
              </w:rPr>
            </w:pPr>
            <w:r w:rsidRPr="002C690D">
              <w:rPr>
                <w:noProof/>
                <w:sz w:val="22"/>
                <w:szCs w:val="22"/>
                <w:lang w:val="en-US" w:eastAsia="en-US"/>
              </w:rPr>
              <w:t>2013-2015</w:t>
            </w:r>
          </w:p>
          <w:p w:rsidR="00583C63" w:rsidRPr="002C690D" w:rsidRDefault="00583C63" w:rsidP="00C866E5">
            <w:pPr>
              <w:rPr>
                <w:noProof/>
                <w:lang w:val="en-US" w:eastAsia="en-US"/>
              </w:rPr>
            </w:pPr>
            <w:r w:rsidRPr="002C690D">
              <w:rPr>
                <w:noProof/>
                <w:sz w:val="22"/>
                <w:szCs w:val="22"/>
                <w:lang w:val="en-US" w:eastAsia="en-US"/>
              </w:rPr>
              <w:t>In accordance with the annual operational plans on gender equality of the Ministry of Labour and Social Policy</w:t>
            </w:r>
          </w:p>
        </w:tc>
      </w:tr>
      <w:tr w:rsidR="00583C63" w:rsidRPr="002C690D">
        <w:trPr>
          <w:trHeight w:val="2812"/>
        </w:trPr>
        <w:tc>
          <w:tcPr>
            <w:tcW w:w="3978" w:type="dxa"/>
            <w:tcBorders>
              <w:bottom w:val="single" w:sz="4" w:space="0" w:color="auto"/>
            </w:tcBorders>
          </w:tcPr>
          <w:p w:rsidR="00583C63" w:rsidRPr="002C690D" w:rsidRDefault="00583C63" w:rsidP="00D02402">
            <w:pPr>
              <w:rPr>
                <w:lang w:val="hr-HR"/>
              </w:rPr>
            </w:pPr>
            <w:r w:rsidRPr="002C690D">
              <w:rPr>
                <w:sz w:val="22"/>
                <w:szCs w:val="22"/>
                <w:lang w:val="mk-MK" w:eastAsia="en-US"/>
              </w:rPr>
              <w:t xml:space="preserve">1.2 </w:t>
            </w:r>
            <w:r w:rsidRPr="002C690D">
              <w:rPr>
                <w:sz w:val="22"/>
                <w:szCs w:val="22"/>
                <w:lang w:val="en-US" w:eastAsia="en-US"/>
              </w:rPr>
              <w:t>Increased participation and contribution of women/men in the adoption and implementation of the peace, security and defense policy of the Republic of Macedonia, including early prevention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E6EED5"/>
          </w:tcPr>
          <w:p w:rsidR="00583C63" w:rsidRPr="002C690D" w:rsidRDefault="00583C63" w:rsidP="00D02402">
            <w:pPr>
              <w:rPr>
                <w:lang w:val="en-US" w:eastAsia="en-US"/>
              </w:rPr>
            </w:pPr>
            <w:r w:rsidRPr="002C690D">
              <w:rPr>
                <w:sz w:val="22"/>
                <w:szCs w:val="22"/>
                <w:lang w:val="en-US" w:eastAsia="en-US"/>
              </w:rPr>
              <w:t>- To establish a procedure for mandatory introduction of gender perspectives in the adoption of MSDP  and in  strategic implementation documents in line with the Law on Equal Opportunities of Women and Men</w:t>
            </w:r>
          </w:p>
          <w:p w:rsidR="00583C63" w:rsidRPr="002C690D" w:rsidRDefault="00583C63" w:rsidP="00D02402">
            <w:pPr>
              <w:rPr>
                <w:lang w:val="mk-MK" w:eastAsia="en-US"/>
              </w:rPr>
            </w:pPr>
            <w:r w:rsidRPr="002C690D">
              <w:rPr>
                <w:sz w:val="22"/>
                <w:szCs w:val="22"/>
                <w:lang w:val="mk-MK" w:eastAsia="en-US"/>
              </w:rPr>
              <w:t>-</w:t>
            </w:r>
            <w:r w:rsidRPr="002C690D">
              <w:rPr>
                <w:sz w:val="22"/>
                <w:szCs w:val="22"/>
              </w:rPr>
              <w:t xml:space="preserve"> </w:t>
            </w:r>
            <w:r w:rsidRPr="002C690D">
              <w:rPr>
                <w:sz w:val="22"/>
                <w:szCs w:val="22"/>
                <w:lang w:val="en-US" w:eastAsia="en-US"/>
              </w:rPr>
              <w:t>To e</w:t>
            </w:r>
            <w:r w:rsidRPr="002C690D">
              <w:rPr>
                <w:sz w:val="22"/>
                <w:szCs w:val="22"/>
                <w:lang w:val="mk-MK" w:eastAsia="en-US"/>
              </w:rPr>
              <w:t>stablish</w:t>
            </w:r>
            <w:r w:rsidRPr="002C690D">
              <w:rPr>
                <w:sz w:val="22"/>
                <w:szCs w:val="22"/>
                <w:lang w:val="en-US" w:eastAsia="en-US"/>
              </w:rPr>
              <w:t xml:space="preserve"> </w:t>
            </w:r>
            <w:r w:rsidRPr="002C690D">
              <w:rPr>
                <w:sz w:val="22"/>
                <w:szCs w:val="22"/>
                <w:lang w:val="mk-MK" w:eastAsia="en-US"/>
              </w:rPr>
              <w:t>gender-sensitive preventi</w:t>
            </w:r>
            <w:r w:rsidRPr="002C690D">
              <w:rPr>
                <w:sz w:val="22"/>
                <w:szCs w:val="22"/>
                <w:lang w:val="en-US" w:eastAsia="en-US"/>
              </w:rPr>
              <w:t>ve</w:t>
            </w:r>
            <w:r w:rsidRPr="002C690D">
              <w:rPr>
                <w:sz w:val="22"/>
                <w:szCs w:val="22"/>
                <w:lang w:val="mk-MK" w:eastAsia="en-US"/>
              </w:rPr>
              <w:t xml:space="preserve"> sectoral polic</w:t>
            </w:r>
            <w:r w:rsidRPr="002C690D">
              <w:rPr>
                <w:sz w:val="22"/>
                <w:szCs w:val="22"/>
                <w:lang w:val="en-US" w:eastAsia="en-US"/>
              </w:rPr>
              <w:t>ies</w:t>
            </w:r>
            <w:r w:rsidRPr="002C690D">
              <w:rPr>
                <w:sz w:val="22"/>
                <w:szCs w:val="22"/>
                <w:lang w:val="mk-MK" w:eastAsia="en-US"/>
              </w:rPr>
              <w:t xml:space="preserve"> </w:t>
            </w:r>
            <w:r w:rsidRPr="002C690D">
              <w:rPr>
                <w:sz w:val="22"/>
                <w:szCs w:val="22"/>
                <w:lang w:val="en-US" w:eastAsia="en-US"/>
              </w:rPr>
              <w:t xml:space="preserve">within the MSDP and an implementation </w:t>
            </w:r>
            <w:r w:rsidRPr="002C690D">
              <w:rPr>
                <w:sz w:val="22"/>
                <w:szCs w:val="22"/>
                <w:lang w:val="mk-MK" w:eastAsia="en-US"/>
              </w:rPr>
              <w:t>mechanism at national and local level;</w:t>
            </w:r>
          </w:p>
          <w:p w:rsidR="00583C63" w:rsidRPr="000A21E6" w:rsidRDefault="00583C63" w:rsidP="000A21E6">
            <w:pPr>
              <w:rPr>
                <w:lang w:val="en-US"/>
              </w:rPr>
            </w:pPr>
            <w:r w:rsidRPr="002C690D">
              <w:rPr>
                <w:sz w:val="22"/>
                <w:szCs w:val="22"/>
                <w:lang w:val="en-US"/>
              </w:rPr>
              <w:t>- To strengthen the capacities of coordinators for equal opportunities and collaboration and consultation with NGOs / civil society on issues related to peace and security policy from a gender pers</w:t>
            </w:r>
            <w:r w:rsidRPr="000A21E6">
              <w:rPr>
                <w:sz w:val="22"/>
                <w:szCs w:val="22"/>
                <w:lang w:val="en-US"/>
              </w:rPr>
              <w:t>- Number of cases resolved (or actions taken on cases)</w:t>
            </w:r>
          </w:p>
          <w:p w:rsidR="00583C63" w:rsidRPr="002C690D" w:rsidRDefault="00583C63" w:rsidP="000A21E6">
            <w:pPr>
              <w:rPr>
                <w:lang w:val="en-US"/>
              </w:rPr>
            </w:pPr>
            <w:r w:rsidRPr="000A21E6">
              <w:rPr>
                <w:sz w:val="22"/>
                <w:szCs w:val="22"/>
                <w:lang w:val="en-US"/>
              </w:rPr>
              <w:t xml:space="preserve">-% Of women who refereed legal obligations concerning </w:t>
            </w:r>
            <w:r w:rsidRPr="002C690D">
              <w:rPr>
                <w:sz w:val="22"/>
                <w:szCs w:val="22"/>
                <w:lang w:val="en-US"/>
              </w:rPr>
              <w:t>ective in the relevant ministries and institutions at central and local level</w:t>
            </w:r>
          </w:p>
          <w:p w:rsidR="00583C63" w:rsidRPr="002C690D" w:rsidRDefault="00583C63" w:rsidP="00D02402">
            <w:pPr>
              <w:rPr>
                <w:lang w:val="mk-MK" w:eastAsia="en-US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E6EED5"/>
          </w:tcPr>
          <w:p w:rsidR="00583C63" w:rsidRPr="002C690D" w:rsidRDefault="00583C63" w:rsidP="00616A7D">
            <w:pPr>
              <w:rPr>
                <w:lang w:val="en-US"/>
              </w:rPr>
            </w:pPr>
          </w:p>
          <w:p w:rsidR="00583C63" w:rsidRPr="002C690D" w:rsidRDefault="00583C63" w:rsidP="00E55039">
            <w:pPr>
              <w:rPr>
                <w:noProof/>
                <w:lang w:val="en-US" w:eastAsia="en-US"/>
              </w:rPr>
            </w:pPr>
            <w:r w:rsidRPr="002C690D">
              <w:rPr>
                <w:noProof/>
                <w:sz w:val="22"/>
                <w:szCs w:val="22"/>
                <w:lang w:val="en-US" w:eastAsia="en-US"/>
              </w:rPr>
              <w:t>-number/profile of women in the security sector</w:t>
            </w:r>
          </w:p>
          <w:p w:rsidR="00583C63" w:rsidRPr="002C690D" w:rsidRDefault="00583C63" w:rsidP="00E55039">
            <w:pPr>
              <w:rPr>
                <w:noProof/>
                <w:lang w:val="en-US" w:eastAsia="en-US"/>
              </w:rPr>
            </w:pPr>
            <w:r w:rsidRPr="002C690D">
              <w:rPr>
                <w:noProof/>
                <w:sz w:val="22"/>
                <w:szCs w:val="22"/>
                <w:lang w:val="en-US" w:eastAsia="en-US"/>
              </w:rPr>
              <w:t>- inputs and suggestions submitted and adopted within the MDSP from a gender perspective</w:t>
            </w:r>
          </w:p>
          <w:p w:rsidR="00583C63" w:rsidRPr="002C690D" w:rsidRDefault="00583C63" w:rsidP="00E55039">
            <w:pPr>
              <w:rPr>
                <w:noProof/>
                <w:lang w:val="en-US" w:eastAsia="en-US"/>
              </w:rPr>
            </w:pPr>
            <w:r w:rsidRPr="002C690D">
              <w:rPr>
                <w:noProof/>
                <w:sz w:val="22"/>
                <w:szCs w:val="22"/>
                <w:lang w:val="en-US" w:eastAsia="en-US"/>
              </w:rPr>
              <w:t xml:space="preserve">-number/type of comments (inputs)  on gender equality from NGO/civil society </w:t>
            </w:r>
          </w:p>
          <w:p w:rsidR="00583C63" w:rsidRPr="002C690D" w:rsidRDefault="00583C63" w:rsidP="00E55039">
            <w:pPr>
              <w:rPr>
                <w:noProof/>
                <w:lang w:val="en-US" w:eastAsia="en-US"/>
              </w:rPr>
            </w:pPr>
            <w:r w:rsidRPr="002C690D">
              <w:rPr>
                <w:noProof/>
                <w:sz w:val="22"/>
                <w:szCs w:val="22"/>
                <w:lang w:val="en-US" w:eastAsia="en-US"/>
              </w:rPr>
              <w:t>- institutions that have developed and implemented a gender-sensitive preventive policy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E6EED5"/>
          </w:tcPr>
          <w:p w:rsidR="00583C63" w:rsidRPr="002C690D" w:rsidRDefault="00583C63" w:rsidP="00D02402">
            <w:pPr>
              <w:rPr>
                <w:noProof/>
                <w:lang w:val="mk-MK" w:eastAsia="en-US"/>
              </w:rPr>
            </w:pPr>
          </w:p>
          <w:p w:rsidR="00583C63" w:rsidRPr="002C690D" w:rsidRDefault="00583C63" w:rsidP="00773A12">
            <w:pPr>
              <w:rPr>
                <w:noProof/>
                <w:lang w:val="mk-MK" w:eastAsia="en-US"/>
              </w:rPr>
            </w:pPr>
            <w:r w:rsidRPr="002C690D">
              <w:rPr>
                <w:i/>
                <w:iCs/>
                <w:sz w:val="22"/>
                <w:szCs w:val="22"/>
                <w:lang w:val="mk-MK"/>
              </w:rPr>
              <w:t xml:space="preserve"> </w:t>
            </w:r>
            <w:r w:rsidRPr="002C690D">
              <w:rPr>
                <w:noProof/>
                <w:sz w:val="22"/>
                <w:szCs w:val="22"/>
                <w:lang w:val="en-US" w:eastAsia="en-US"/>
              </w:rPr>
              <w:t>2013-2015</w:t>
            </w:r>
          </w:p>
          <w:p w:rsidR="00583C63" w:rsidRPr="002C690D" w:rsidRDefault="00583C63" w:rsidP="00773A12">
            <w:pPr>
              <w:rPr>
                <w:i/>
                <w:iCs/>
                <w:lang w:val="en-US"/>
              </w:rPr>
            </w:pPr>
            <w:r w:rsidRPr="002C690D">
              <w:rPr>
                <w:noProof/>
                <w:sz w:val="22"/>
                <w:szCs w:val="22"/>
                <w:lang w:val="en-US" w:eastAsia="en-US"/>
              </w:rPr>
              <w:t>In accordance with the annual operational plans on gender equality of the Ministry of Labour and Social Policy</w:t>
            </w:r>
          </w:p>
        </w:tc>
      </w:tr>
      <w:tr w:rsidR="00583C63" w:rsidRPr="002C690D">
        <w:trPr>
          <w:trHeight w:val="530"/>
        </w:trPr>
        <w:tc>
          <w:tcPr>
            <w:tcW w:w="14000" w:type="dxa"/>
            <w:gridSpan w:val="4"/>
          </w:tcPr>
          <w:p w:rsidR="00583C63" w:rsidRPr="002C690D" w:rsidRDefault="00583C63" w:rsidP="00D02402">
            <w:pPr>
              <w:rPr>
                <w:lang w:val="mk-MK" w:eastAsia="en-US"/>
              </w:rPr>
            </w:pPr>
          </w:p>
          <w:p w:rsidR="00583C63" w:rsidRPr="008974E0" w:rsidRDefault="00583C63" w:rsidP="008974E0">
            <w:pPr>
              <w:rPr>
                <w:b/>
                <w:bCs/>
                <w:lang w:val="en-US" w:eastAsia="en-US"/>
              </w:rPr>
            </w:pPr>
            <w:r w:rsidRPr="002C690D">
              <w:rPr>
                <w:b/>
                <w:bCs/>
                <w:sz w:val="22"/>
                <w:szCs w:val="22"/>
                <w:lang w:val="mk-MK" w:eastAsia="en-US"/>
              </w:rPr>
              <w:t>Indicator</w:t>
            </w:r>
            <w:r>
              <w:rPr>
                <w:b/>
                <w:bCs/>
                <w:sz w:val="22"/>
                <w:szCs w:val="22"/>
                <w:lang w:val="mk-MK" w:eastAsia="en-US"/>
              </w:rPr>
              <w:t xml:space="preserve"> for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2C690D">
              <w:rPr>
                <w:b/>
                <w:bCs/>
                <w:sz w:val="22"/>
                <w:szCs w:val="22"/>
                <w:lang w:val="mk-MK" w:eastAsia="en-US"/>
              </w:rPr>
              <w:t>trate</w:t>
            </w:r>
            <w:r>
              <w:rPr>
                <w:b/>
                <w:bCs/>
                <w:sz w:val="22"/>
                <w:szCs w:val="22"/>
                <w:lang w:val="mk-MK" w:eastAsia="en-US"/>
              </w:rPr>
              <w:t xml:space="preserve">gic </w:t>
            </w:r>
            <w:r>
              <w:rPr>
                <w:b/>
                <w:bCs/>
                <w:sz w:val="22"/>
                <w:szCs w:val="22"/>
                <w:lang w:val="en-US" w:eastAsia="en-US"/>
              </w:rPr>
              <w:t>o</w:t>
            </w:r>
            <w:r>
              <w:t xml:space="preserve"> </w:t>
            </w:r>
            <w:r w:rsidRPr="008974E0">
              <w:rPr>
                <w:b/>
                <w:bCs/>
                <w:sz w:val="22"/>
                <w:szCs w:val="22"/>
                <w:lang w:val="en-US" w:eastAsia="en-US"/>
              </w:rPr>
              <w:t>Indicator for Strategic Goal 3:</w:t>
            </w:r>
          </w:p>
          <w:p w:rsidR="00583C63" w:rsidRPr="002C690D" w:rsidRDefault="00583C63" w:rsidP="008974E0">
            <w:pPr>
              <w:rPr>
                <w:b/>
                <w:bCs/>
                <w:noProof/>
                <w:lang w:val="mk-MK" w:eastAsia="en-US"/>
              </w:rPr>
            </w:pPr>
            <w:r w:rsidRPr="008974E0">
              <w:rPr>
                <w:b/>
                <w:bCs/>
                <w:sz w:val="22"/>
                <w:szCs w:val="22"/>
                <w:lang w:val="en-US" w:eastAsia="en-US"/>
              </w:rPr>
              <w:t>Enhanced function for prevention and prevention of violence against women and girls and improved mechanisms for gender-sensitive assessments of risks from disasters.</w:t>
            </w:r>
            <w:r w:rsidRPr="002C690D">
              <w:rPr>
                <w:b/>
                <w:bCs/>
                <w:sz w:val="22"/>
                <w:szCs w:val="22"/>
                <w:lang w:val="mk-MK" w:eastAsia="en-US"/>
              </w:rPr>
              <w:t>bjective 1: Content analys</w:t>
            </w:r>
            <w:r w:rsidRPr="002C690D">
              <w:rPr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2C690D">
              <w:rPr>
                <w:b/>
                <w:bCs/>
                <w:sz w:val="22"/>
                <w:szCs w:val="22"/>
                <w:lang w:val="mk-MK" w:eastAsia="en-US"/>
              </w:rPr>
              <w:t xml:space="preserve">s of key policy documents </w:t>
            </w:r>
            <w:r w:rsidRPr="002C690D">
              <w:rPr>
                <w:b/>
                <w:bCs/>
                <w:sz w:val="22"/>
                <w:szCs w:val="22"/>
                <w:lang w:val="en-US" w:eastAsia="en-US"/>
              </w:rPr>
              <w:t>on the representation</w:t>
            </w:r>
            <w:r w:rsidRPr="002C690D">
              <w:rPr>
                <w:b/>
                <w:bCs/>
                <w:sz w:val="22"/>
                <w:szCs w:val="22"/>
                <w:lang w:val="mk-MK" w:eastAsia="en-US"/>
              </w:rPr>
              <w:t xml:space="preserve">, type, frequency of </w:t>
            </w:r>
            <w:r w:rsidRPr="002C690D">
              <w:rPr>
                <w:b/>
                <w:bCs/>
                <w:sz w:val="22"/>
                <w:szCs w:val="22"/>
                <w:lang w:val="en-US" w:eastAsia="en-US"/>
              </w:rPr>
              <w:t xml:space="preserve">used gender perspective related </w:t>
            </w:r>
            <w:r w:rsidRPr="002C690D">
              <w:rPr>
                <w:b/>
                <w:bCs/>
                <w:sz w:val="22"/>
                <w:szCs w:val="22"/>
                <w:lang w:val="mk-MK" w:eastAsia="en-US"/>
              </w:rPr>
              <w:t xml:space="preserve">terms </w:t>
            </w:r>
          </w:p>
        </w:tc>
      </w:tr>
      <w:tr w:rsidR="00583C63" w:rsidRPr="00841F4D">
        <w:trPr>
          <w:trHeight w:val="530"/>
        </w:trPr>
        <w:tc>
          <w:tcPr>
            <w:tcW w:w="14000" w:type="dxa"/>
            <w:gridSpan w:val="4"/>
          </w:tcPr>
          <w:p w:rsidR="00583C63" w:rsidRPr="002C690D" w:rsidRDefault="00583C63" w:rsidP="00DE6C65">
            <w:pPr>
              <w:spacing w:after="240"/>
              <w:rPr>
                <w:noProof/>
                <w:lang w:val="en-US" w:eastAsia="en-US"/>
              </w:rPr>
            </w:pPr>
            <w:r w:rsidRPr="002C690D">
              <w:rPr>
                <w:sz w:val="22"/>
                <w:szCs w:val="22"/>
                <w:u w:val="single"/>
                <w:lang w:val="en-US" w:eastAsia="en-US"/>
              </w:rPr>
              <w:t>Responsible institutions</w:t>
            </w:r>
            <w:r w:rsidRPr="002C690D">
              <w:rPr>
                <w:sz w:val="22"/>
                <w:szCs w:val="22"/>
                <w:u w:val="single"/>
                <w:lang w:val="mk-MK" w:eastAsia="en-US"/>
              </w:rPr>
              <w:t>:</w:t>
            </w:r>
            <w:r w:rsidRPr="002C690D">
              <w:rPr>
                <w:sz w:val="22"/>
                <w:szCs w:val="22"/>
                <w:lang w:val="mk-MK" w:eastAsia="en-US"/>
              </w:rPr>
              <w:t xml:space="preserve"> 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 xml:space="preserve"> </w:t>
            </w:r>
            <w:r w:rsidRPr="002C690D">
              <w:t xml:space="preserve"> 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 xml:space="preserve">Ministry of Labour and Social </w:t>
            </w:r>
            <w:r w:rsidRPr="002C690D">
              <w:rPr>
                <w:noProof/>
                <w:sz w:val="22"/>
                <w:szCs w:val="22"/>
                <w:lang w:val="en-US" w:eastAsia="en-US"/>
              </w:rPr>
              <w:t xml:space="preserve">Policy 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 xml:space="preserve">in collaboration with the Ministry of Foreign Affairs, Ministry of Defense, Ministry of Interior, the </w:t>
            </w:r>
            <w:r w:rsidRPr="002C690D">
              <w:rPr>
                <w:noProof/>
                <w:sz w:val="22"/>
                <w:szCs w:val="22"/>
                <w:lang w:val="en-US" w:eastAsia="en-US"/>
              </w:rPr>
              <w:t>Parliament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 xml:space="preserve"> of the Republic</w:t>
            </w:r>
            <w:r w:rsidRPr="002C690D">
              <w:rPr>
                <w:noProof/>
                <w:sz w:val="22"/>
                <w:szCs w:val="22"/>
                <w:lang w:val="en-US" w:eastAsia="en-US"/>
              </w:rPr>
              <w:t xml:space="preserve"> of Macedonia, the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 xml:space="preserve"> Committee on Equal Opportunities </w:t>
            </w:r>
            <w:r w:rsidRPr="002C690D">
              <w:rPr>
                <w:noProof/>
                <w:sz w:val="22"/>
                <w:szCs w:val="22"/>
                <w:lang w:val="en-US" w:eastAsia="en-US"/>
              </w:rPr>
              <w:t xml:space="preserve">of 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 xml:space="preserve">Women and Men </w:t>
            </w:r>
            <w:r w:rsidRPr="002C690D">
              <w:rPr>
                <w:noProof/>
                <w:sz w:val="22"/>
                <w:szCs w:val="22"/>
                <w:lang w:val="en-US" w:eastAsia="en-US"/>
              </w:rPr>
              <w:t>within Parliament, the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 xml:space="preserve"> Committee on </w:t>
            </w:r>
            <w:r w:rsidRPr="002C690D">
              <w:rPr>
                <w:noProof/>
                <w:sz w:val="22"/>
                <w:szCs w:val="22"/>
                <w:lang w:val="en-US" w:eastAsia="en-US"/>
              </w:rPr>
              <w:t xml:space="preserve">Defence and 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 xml:space="preserve">Security in Parliament, Centre for </w:t>
            </w:r>
            <w:r w:rsidRPr="002C690D">
              <w:rPr>
                <w:noProof/>
                <w:sz w:val="22"/>
                <w:szCs w:val="22"/>
                <w:lang w:val="en-US" w:eastAsia="en-US"/>
              </w:rPr>
              <w:t xml:space="preserve">Crisis 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 xml:space="preserve">Management, LGUs, </w:t>
            </w:r>
            <w:r w:rsidRPr="002C690D">
              <w:rPr>
                <w:noProof/>
                <w:sz w:val="22"/>
                <w:szCs w:val="22"/>
                <w:lang w:val="en-US" w:eastAsia="en-US"/>
              </w:rPr>
              <w:t>c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 xml:space="preserve">ivil </w:t>
            </w:r>
            <w:r w:rsidRPr="002C690D">
              <w:rPr>
                <w:noProof/>
                <w:sz w:val="22"/>
                <w:szCs w:val="22"/>
                <w:lang w:val="en-US" w:eastAsia="en-US"/>
              </w:rPr>
              <w:t>s</w:t>
            </w:r>
            <w:r w:rsidRPr="002C690D">
              <w:rPr>
                <w:noProof/>
                <w:sz w:val="22"/>
                <w:szCs w:val="22"/>
                <w:lang w:val="mk-MK" w:eastAsia="en-US"/>
              </w:rPr>
              <w:t>ector</w:t>
            </w:r>
          </w:p>
          <w:p w:rsidR="00583C63" w:rsidRPr="002C690D" w:rsidRDefault="00583C63" w:rsidP="00DE6C65">
            <w:pPr>
              <w:spacing w:after="240"/>
              <w:rPr>
                <w:noProof/>
                <w:lang w:val="en-US" w:eastAsia="en-US"/>
              </w:rPr>
            </w:pPr>
          </w:p>
          <w:p w:rsidR="00583C63" w:rsidRPr="002C690D" w:rsidRDefault="00583C63" w:rsidP="00D02402">
            <w:pPr>
              <w:rPr>
                <w:lang w:val="mk-MK" w:eastAsia="en-US"/>
              </w:rPr>
            </w:pPr>
          </w:p>
        </w:tc>
      </w:tr>
    </w:tbl>
    <w:p w:rsidR="00583C63" w:rsidRPr="00841F4D" w:rsidRDefault="00583C63" w:rsidP="0093149A">
      <w:pPr>
        <w:rPr>
          <w:sz w:val="22"/>
          <w:szCs w:val="22"/>
          <w:lang w:val="mk-MK"/>
        </w:rPr>
      </w:pPr>
    </w:p>
    <w:sectPr w:rsidR="00583C63" w:rsidRPr="00841F4D" w:rsidSect="00205A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63" w:rsidRDefault="00583C63" w:rsidP="00FD30B1">
      <w:r>
        <w:separator/>
      </w:r>
    </w:p>
  </w:endnote>
  <w:endnote w:type="continuationSeparator" w:id="0">
    <w:p w:rsidR="00583C63" w:rsidRDefault="00583C63" w:rsidP="00FD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_Garamond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63" w:rsidRDefault="00583C63" w:rsidP="00FD30B1">
      <w:r>
        <w:separator/>
      </w:r>
    </w:p>
  </w:footnote>
  <w:footnote w:type="continuationSeparator" w:id="0">
    <w:p w:rsidR="00583C63" w:rsidRDefault="00583C63" w:rsidP="00FD30B1">
      <w:r>
        <w:continuationSeparator/>
      </w:r>
    </w:p>
  </w:footnote>
  <w:footnote w:id="1">
    <w:p w:rsidR="00583C63" w:rsidRPr="002C690D" w:rsidRDefault="00583C63" w:rsidP="00B86513">
      <w:pPr>
        <w:pStyle w:val="NormalWeb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2C690D">
        <w:rPr>
          <w:rStyle w:val="FootnoteReference"/>
        </w:rPr>
        <w:footnoteRef/>
      </w:r>
      <w:r w:rsidRPr="002C690D">
        <w:t xml:space="preserve"> </w:t>
      </w:r>
      <w:r w:rsidRPr="002C690D">
        <w:rPr>
          <w:sz w:val="20"/>
          <w:szCs w:val="20"/>
        </w:rPr>
        <w:t>Outcome Document of the 2005 United Nations World Summit (</w:t>
      </w:r>
      <w:hyperlink r:id="rId1" w:anchor="page=30" w:history="1">
        <w:r w:rsidRPr="002C690D">
          <w:rPr>
            <w:sz w:val="20"/>
            <w:szCs w:val="20"/>
          </w:rPr>
          <w:t>A/RES/60/1, para. 138-140</w:t>
        </w:r>
      </w:hyperlink>
      <w:r w:rsidRPr="002C690D">
        <w:rPr>
          <w:sz w:val="20"/>
          <w:szCs w:val="20"/>
        </w:rPr>
        <w:t xml:space="preserve">) and formulated in the </w:t>
      </w:r>
      <w:hyperlink r:id="rId2" w:history="1">
        <w:r w:rsidRPr="002C690D">
          <w:rPr>
            <w:sz w:val="20"/>
            <w:szCs w:val="20"/>
          </w:rPr>
          <w:t>Secretary-General's 2009 Report (A/63/677) on implementing the Responsibility to Protect</w:t>
        </w:r>
      </w:hyperlink>
      <w:r w:rsidRPr="002C690D">
        <w:rPr>
          <w:sz w:val="20"/>
          <w:szCs w:val="20"/>
        </w:rPr>
        <w:t xml:space="preserve"> are:</w:t>
      </w:r>
    </w:p>
    <w:p w:rsidR="00583C63" w:rsidRPr="002C690D" w:rsidRDefault="00583C63" w:rsidP="00B86513">
      <w:pPr>
        <w:pStyle w:val="NormalWeb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2C690D">
        <w:rPr>
          <w:sz w:val="20"/>
          <w:szCs w:val="20"/>
        </w:rPr>
        <w:t xml:space="preserve">The State carries the primary responsibility for protecting populations from genocide, war crimes, crimes against humanity and ethnic cleansing, and their incitement; </w:t>
      </w:r>
    </w:p>
    <w:p w:rsidR="00583C63" w:rsidRPr="002C690D" w:rsidRDefault="00583C63" w:rsidP="00B86513">
      <w:pPr>
        <w:pStyle w:val="NormalWeb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2C690D">
        <w:rPr>
          <w:sz w:val="20"/>
          <w:szCs w:val="20"/>
        </w:rPr>
        <w:t>The international community has a responsibility to encourage and assist States in fulfilling this responsibility</w:t>
      </w:r>
    </w:p>
    <w:p w:rsidR="00583C63" w:rsidRPr="002C690D" w:rsidRDefault="00583C63" w:rsidP="00B86513">
      <w:pPr>
        <w:pStyle w:val="NormalWeb"/>
        <w:numPr>
          <w:ilvl w:val="0"/>
          <w:numId w:val="4"/>
        </w:numPr>
        <w:shd w:val="clear" w:color="auto" w:fill="FFFFFF"/>
        <w:rPr>
          <w:sz w:val="20"/>
          <w:szCs w:val="20"/>
        </w:rPr>
      </w:pPr>
      <w:r w:rsidRPr="002C690D">
        <w:rPr>
          <w:sz w:val="20"/>
          <w:szCs w:val="20"/>
        </w:rPr>
        <w:t>The international community has a responsibility to use appropriate diplomatic, humanitarian and other means to protect populations from these crimes. If a State is manifestly failing to protect its populations, the international community must be prepared to take collective action to protect populations, in accordance with the Charter of the United Nations</w:t>
      </w:r>
    </w:p>
    <w:p w:rsidR="00583C63" w:rsidRPr="00FD30B1" w:rsidRDefault="00583C63" w:rsidP="00B86513">
      <w:pPr>
        <w:rPr>
          <w:rFonts w:ascii="Arial" w:hAnsi="Arial" w:cs="Arial"/>
          <w:sz w:val="28"/>
          <w:szCs w:val="28"/>
          <w:lang w:val="mk-MK"/>
        </w:rPr>
      </w:pPr>
    </w:p>
    <w:p w:rsidR="00583C63" w:rsidRDefault="00583C63" w:rsidP="00B865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942"/>
    <w:multiLevelType w:val="multilevel"/>
    <w:tmpl w:val="0D4C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611EEC"/>
    <w:multiLevelType w:val="hybridMultilevel"/>
    <w:tmpl w:val="5C50EBEE"/>
    <w:lvl w:ilvl="0" w:tplc="CA4C5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0282D"/>
    <w:multiLevelType w:val="hybridMultilevel"/>
    <w:tmpl w:val="ABFC5376"/>
    <w:lvl w:ilvl="0" w:tplc="135E5948"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06CFF"/>
    <w:multiLevelType w:val="hybridMultilevel"/>
    <w:tmpl w:val="7FFA39AE"/>
    <w:lvl w:ilvl="0" w:tplc="50B823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A93"/>
    <w:rsid w:val="00007D1A"/>
    <w:rsid w:val="000236BC"/>
    <w:rsid w:val="00027CA8"/>
    <w:rsid w:val="00037ED5"/>
    <w:rsid w:val="00080064"/>
    <w:rsid w:val="00095614"/>
    <w:rsid w:val="000A0170"/>
    <w:rsid w:val="000A21E6"/>
    <w:rsid w:val="000C5AAC"/>
    <w:rsid w:val="00205A93"/>
    <w:rsid w:val="0024273E"/>
    <w:rsid w:val="00272678"/>
    <w:rsid w:val="00276AE9"/>
    <w:rsid w:val="002A7D17"/>
    <w:rsid w:val="002C690D"/>
    <w:rsid w:val="00322B85"/>
    <w:rsid w:val="00343857"/>
    <w:rsid w:val="003A09F3"/>
    <w:rsid w:val="003A485D"/>
    <w:rsid w:val="003E01FF"/>
    <w:rsid w:val="00411D13"/>
    <w:rsid w:val="00430FA0"/>
    <w:rsid w:val="00431351"/>
    <w:rsid w:val="004551E8"/>
    <w:rsid w:val="00485C02"/>
    <w:rsid w:val="004A69F6"/>
    <w:rsid w:val="0051643C"/>
    <w:rsid w:val="00540D0A"/>
    <w:rsid w:val="00560066"/>
    <w:rsid w:val="0056693D"/>
    <w:rsid w:val="00583C63"/>
    <w:rsid w:val="005B0E38"/>
    <w:rsid w:val="005E75FF"/>
    <w:rsid w:val="00615B79"/>
    <w:rsid w:val="00616A7D"/>
    <w:rsid w:val="006729EF"/>
    <w:rsid w:val="006D1AAF"/>
    <w:rsid w:val="006F6A47"/>
    <w:rsid w:val="00721DC1"/>
    <w:rsid w:val="00722BA0"/>
    <w:rsid w:val="00744A5B"/>
    <w:rsid w:val="00752D37"/>
    <w:rsid w:val="00756A7B"/>
    <w:rsid w:val="00761205"/>
    <w:rsid w:val="00773A12"/>
    <w:rsid w:val="007A1BDC"/>
    <w:rsid w:val="0081115A"/>
    <w:rsid w:val="008214B4"/>
    <w:rsid w:val="0082412B"/>
    <w:rsid w:val="00841F4D"/>
    <w:rsid w:val="00842CC0"/>
    <w:rsid w:val="00866B42"/>
    <w:rsid w:val="00881C29"/>
    <w:rsid w:val="00894C5C"/>
    <w:rsid w:val="008974E0"/>
    <w:rsid w:val="008A2D1F"/>
    <w:rsid w:val="008A490A"/>
    <w:rsid w:val="008C6E28"/>
    <w:rsid w:val="008F3624"/>
    <w:rsid w:val="008F3B98"/>
    <w:rsid w:val="0093149A"/>
    <w:rsid w:val="00952F90"/>
    <w:rsid w:val="00990279"/>
    <w:rsid w:val="00A24409"/>
    <w:rsid w:val="00A44D44"/>
    <w:rsid w:val="00A6596D"/>
    <w:rsid w:val="00A824AF"/>
    <w:rsid w:val="00A84260"/>
    <w:rsid w:val="00A96A39"/>
    <w:rsid w:val="00AE2AF2"/>
    <w:rsid w:val="00B032F9"/>
    <w:rsid w:val="00B0395C"/>
    <w:rsid w:val="00B33194"/>
    <w:rsid w:val="00B338F9"/>
    <w:rsid w:val="00B40A5E"/>
    <w:rsid w:val="00B54C4B"/>
    <w:rsid w:val="00B57859"/>
    <w:rsid w:val="00B84C8F"/>
    <w:rsid w:val="00B86513"/>
    <w:rsid w:val="00B865DD"/>
    <w:rsid w:val="00B87A90"/>
    <w:rsid w:val="00BC6A1A"/>
    <w:rsid w:val="00BE21A7"/>
    <w:rsid w:val="00C11D45"/>
    <w:rsid w:val="00C15802"/>
    <w:rsid w:val="00C27B58"/>
    <w:rsid w:val="00C51A73"/>
    <w:rsid w:val="00C67D2B"/>
    <w:rsid w:val="00C866E5"/>
    <w:rsid w:val="00CB5FA1"/>
    <w:rsid w:val="00D0117F"/>
    <w:rsid w:val="00D02402"/>
    <w:rsid w:val="00D2413F"/>
    <w:rsid w:val="00D326D3"/>
    <w:rsid w:val="00D85045"/>
    <w:rsid w:val="00D87256"/>
    <w:rsid w:val="00DA094E"/>
    <w:rsid w:val="00DE6C65"/>
    <w:rsid w:val="00E1780D"/>
    <w:rsid w:val="00E42348"/>
    <w:rsid w:val="00E45749"/>
    <w:rsid w:val="00E55039"/>
    <w:rsid w:val="00E974F6"/>
    <w:rsid w:val="00EE4BEF"/>
    <w:rsid w:val="00EF0164"/>
    <w:rsid w:val="00F2312B"/>
    <w:rsid w:val="00F7134F"/>
    <w:rsid w:val="00F74E9F"/>
    <w:rsid w:val="00FB101A"/>
    <w:rsid w:val="00F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9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61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614"/>
    <w:pPr>
      <w:keepNext/>
      <w:ind w:left="360"/>
      <w:outlineLvl w:val="2"/>
    </w:pPr>
    <w:rPr>
      <w:rFonts w:ascii="M_Garamond" w:hAnsi="M_Garamond" w:cs="M_Garamond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5614"/>
    <w:rPr>
      <w:rFonts w:ascii="Arial" w:hAnsi="Arial" w:cs="Arial"/>
      <w:b/>
      <w:b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5614"/>
    <w:rPr>
      <w:rFonts w:ascii="M_Garamond" w:hAnsi="M_Garamond" w:cs="M_Garamond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2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DC1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D872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7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7256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7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7256"/>
    <w:rPr>
      <w:b/>
      <w:bCs/>
    </w:rPr>
  </w:style>
  <w:style w:type="paragraph" w:styleId="NormalWeb">
    <w:name w:val="Normal (Web)"/>
    <w:basedOn w:val="Normal"/>
    <w:uiPriority w:val="99"/>
    <w:rsid w:val="00FD30B1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D30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30B1"/>
    <w:rPr>
      <w:rFonts w:cs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FD30B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0099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3838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org/ga/search/view_doc.asp?symbol=A/63/677" TargetMode="External"/><Relationship Id="rId1" Type="http://schemas.openxmlformats.org/officeDocument/2006/relationships/hyperlink" Target="http://www.un.org/en/preventgenocide/adviser/pdf/World%20Summit%20Outcome%20Docu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474</Words>
  <Characters>2708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 1: Зајакната родова перспектива во формулирањето и имплементацијата на мировната, безбедносната и одбранбената политика (МБОП) на Република Македонија</dc:title>
  <dc:subject/>
  <dc:creator>user</dc:creator>
  <cp:keywords/>
  <dc:description/>
  <cp:lastModifiedBy>Makedonka Cestojnova</cp:lastModifiedBy>
  <cp:revision>2</cp:revision>
  <cp:lastPrinted>2012-11-14T11:37:00Z</cp:lastPrinted>
  <dcterms:created xsi:type="dcterms:W3CDTF">2013-04-19T11:11:00Z</dcterms:created>
  <dcterms:modified xsi:type="dcterms:W3CDTF">2013-04-19T11:11:00Z</dcterms:modified>
</cp:coreProperties>
</file>