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24" w:tblpY="898"/>
        <w:tblW w:w="14022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1E0"/>
      </w:tblPr>
      <w:tblGrid>
        <w:gridCol w:w="3582"/>
        <w:gridCol w:w="5598"/>
        <w:gridCol w:w="2410"/>
        <w:gridCol w:w="2410"/>
        <w:gridCol w:w="22"/>
      </w:tblGrid>
      <w:tr w:rsidR="00106D33" w:rsidRPr="002A7B86">
        <w:trPr>
          <w:trHeight w:val="321"/>
        </w:trPr>
        <w:tc>
          <w:tcPr>
            <w:tcW w:w="14022" w:type="dxa"/>
            <w:gridSpan w:val="5"/>
          </w:tcPr>
          <w:p w:rsidR="00106D33" w:rsidRPr="002A7B86" w:rsidRDefault="00106D33" w:rsidP="00A92EC4">
            <w:pPr>
              <w:jc w:val="both"/>
              <w:rPr>
                <w:b/>
                <w:bCs/>
                <w:lang w:val="ru-RU" w:eastAsia="en-US"/>
              </w:rPr>
            </w:pPr>
            <w:r w:rsidRPr="002A7B86">
              <w:rPr>
                <w:b/>
                <w:bCs/>
                <w:sz w:val="22"/>
                <w:szCs w:val="22"/>
                <w:lang w:val="en-US"/>
              </w:rPr>
              <w:t xml:space="preserve">Strategic objective 3: Prevention of violence and protection of the rights of women in conditions of peace, conflicts and humanitarian disasters </w:t>
            </w:r>
          </w:p>
        </w:tc>
      </w:tr>
      <w:tr w:rsidR="00106D33" w:rsidRPr="002A7B86">
        <w:trPr>
          <w:gridAfter w:val="1"/>
          <w:wAfter w:w="22" w:type="dxa"/>
          <w:trHeight w:val="541"/>
        </w:trPr>
        <w:tc>
          <w:tcPr>
            <w:tcW w:w="3582" w:type="dxa"/>
            <w:shd w:val="clear" w:color="auto" w:fill="E6EED5"/>
          </w:tcPr>
          <w:p w:rsidR="00106D33" w:rsidRPr="002A7B86" w:rsidRDefault="00106D33" w:rsidP="006235AF">
            <w:pPr>
              <w:jc w:val="center"/>
              <w:rPr>
                <w:lang w:val="en-US" w:eastAsia="en-US"/>
              </w:rPr>
            </w:pPr>
            <w:r w:rsidRPr="002A7B86">
              <w:rPr>
                <w:sz w:val="22"/>
                <w:szCs w:val="22"/>
                <w:lang w:val="en-US" w:eastAsia="en-US"/>
              </w:rPr>
              <w:t>Result</w:t>
            </w:r>
          </w:p>
        </w:tc>
        <w:tc>
          <w:tcPr>
            <w:tcW w:w="5598" w:type="dxa"/>
            <w:shd w:val="clear" w:color="auto" w:fill="E6EED5"/>
          </w:tcPr>
          <w:p w:rsidR="00106D33" w:rsidRPr="002A7B86" w:rsidRDefault="00106D33" w:rsidP="00380D4E">
            <w:pPr>
              <w:jc w:val="center"/>
              <w:rPr>
                <w:lang w:val="en-US" w:eastAsia="en-US"/>
              </w:rPr>
            </w:pPr>
            <w:r w:rsidRPr="002A7B86">
              <w:rPr>
                <w:sz w:val="22"/>
                <w:szCs w:val="22"/>
                <w:lang w:val="en-US" w:eastAsia="en-US"/>
              </w:rPr>
              <w:t>Activity</w:t>
            </w:r>
          </w:p>
          <w:p w:rsidR="00106D33" w:rsidRPr="002A7B86" w:rsidRDefault="00106D33" w:rsidP="00A92EC4">
            <w:pPr>
              <w:jc w:val="center"/>
              <w:rPr>
                <w:lang w:val="en-US" w:eastAsia="en-US"/>
              </w:rPr>
            </w:pPr>
          </w:p>
        </w:tc>
        <w:tc>
          <w:tcPr>
            <w:tcW w:w="2410" w:type="dxa"/>
            <w:shd w:val="clear" w:color="auto" w:fill="E6EED5"/>
          </w:tcPr>
          <w:p w:rsidR="00106D33" w:rsidRPr="002A7B86" w:rsidRDefault="00106D33" w:rsidP="00A92EC4">
            <w:pPr>
              <w:rPr>
                <w:noProof/>
                <w:lang w:val="en-US" w:eastAsia="en-US"/>
              </w:rPr>
            </w:pPr>
            <w:r w:rsidRPr="002A7B86">
              <w:rPr>
                <w:noProof/>
                <w:sz w:val="22"/>
                <w:szCs w:val="22"/>
                <w:lang w:val="en-US" w:eastAsia="en-US"/>
              </w:rPr>
              <w:t>Indicator</w:t>
            </w:r>
          </w:p>
        </w:tc>
        <w:tc>
          <w:tcPr>
            <w:tcW w:w="2410" w:type="dxa"/>
            <w:shd w:val="clear" w:color="auto" w:fill="E6EED5"/>
          </w:tcPr>
          <w:p w:rsidR="00106D33" w:rsidRPr="002A7B86" w:rsidRDefault="00106D33" w:rsidP="00380D4E">
            <w:pPr>
              <w:jc w:val="center"/>
              <w:rPr>
                <w:noProof/>
                <w:lang w:val="en-US" w:eastAsia="en-US"/>
              </w:rPr>
            </w:pPr>
            <w:r w:rsidRPr="002A7B86">
              <w:rPr>
                <w:noProof/>
                <w:sz w:val="22"/>
                <w:szCs w:val="22"/>
                <w:lang w:val="en-US" w:eastAsia="en-US"/>
              </w:rPr>
              <w:t>Time frame</w:t>
            </w:r>
          </w:p>
        </w:tc>
      </w:tr>
      <w:tr w:rsidR="00106D33" w:rsidRPr="002A7B86">
        <w:trPr>
          <w:gridAfter w:val="1"/>
          <w:wAfter w:w="22" w:type="dxa"/>
          <w:trHeight w:val="2143"/>
        </w:trPr>
        <w:tc>
          <w:tcPr>
            <w:tcW w:w="3582" w:type="dxa"/>
          </w:tcPr>
          <w:p w:rsidR="00106D33" w:rsidRPr="002A7B86" w:rsidRDefault="00106D33" w:rsidP="00380D4E">
            <w:pPr>
              <w:autoSpaceDE w:val="0"/>
              <w:autoSpaceDN w:val="0"/>
              <w:adjustRightInd w:val="0"/>
              <w:rPr>
                <w:lang w:val="mk-MK" w:eastAsia="en-US"/>
              </w:rPr>
            </w:pPr>
          </w:p>
          <w:p w:rsidR="00106D33" w:rsidRPr="002A7B86" w:rsidRDefault="00106D33" w:rsidP="00380D4E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2A7B86">
              <w:rPr>
                <w:sz w:val="22"/>
                <w:szCs w:val="22"/>
                <w:lang w:val="mk-MK" w:eastAsia="en-US"/>
              </w:rPr>
              <w:t>3.1</w:t>
            </w:r>
            <w:r w:rsidRPr="002A7B86">
              <w:rPr>
                <w:sz w:val="22"/>
                <w:szCs w:val="22"/>
                <w:lang w:val="mk-MK"/>
              </w:rPr>
              <w:t xml:space="preserve"> </w:t>
            </w:r>
            <w:r w:rsidRPr="002A7B86">
              <w:rPr>
                <w:sz w:val="22"/>
                <w:szCs w:val="22"/>
                <w:lang w:val="mk-MK" w:eastAsia="en-US"/>
              </w:rPr>
              <w:t xml:space="preserve"> </w:t>
            </w:r>
            <w:r w:rsidRPr="002A7B86">
              <w:rPr>
                <w:sz w:val="22"/>
                <w:szCs w:val="22"/>
                <w:lang w:val="en-US" w:eastAsia="en-US"/>
              </w:rPr>
              <w:t>Improved legislative framework regarding violence against women and girls from a gender perspective in line with EU and international standards for natural / humanitarian crises and disasters</w:t>
            </w:r>
          </w:p>
          <w:p w:rsidR="00106D33" w:rsidRPr="002A7B86" w:rsidRDefault="00106D33" w:rsidP="00E67707">
            <w:pPr>
              <w:autoSpaceDE w:val="0"/>
              <w:autoSpaceDN w:val="0"/>
              <w:adjustRightInd w:val="0"/>
              <w:rPr>
                <w:lang w:val="mk-MK" w:eastAsia="en-US"/>
              </w:rPr>
            </w:pPr>
          </w:p>
        </w:tc>
        <w:tc>
          <w:tcPr>
            <w:tcW w:w="5598" w:type="dxa"/>
            <w:shd w:val="clear" w:color="auto" w:fill="E6EED5"/>
          </w:tcPr>
          <w:p w:rsidR="00106D33" w:rsidRPr="002A7B86" w:rsidRDefault="00106D33" w:rsidP="00E67707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2A7B86">
              <w:rPr>
                <w:sz w:val="22"/>
                <w:szCs w:val="22"/>
                <w:lang w:val="mk-MK" w:eastAsia="en-US"/>
              </w:rPr>
              <w:t xml:space="preserve">-Establishment of an inter-departmental working group </w:t>
            </w:r>
            <w:r w:rsidRPr="002A7B86">
              <w:rPr>
                <w:sz w:val="22"/>
                <w:szCs w:val="22"/>
                <w:lang w:val="en-US" w:eastAsia="en-US"/>
              </w:rPr>
              <w:t>for</w:t>
            </w:r>
            <w:r w:rsidRPr="002A7B86">
              <w:rPr>
                <w:sz w:val="22"/>
                <w:szCs w:val="22"/>
                <w:lang w:val="mk-MK" w:eastAsia="en-US"/>
              </w:rPr>
              <w:t xml:space="preserve"> self / evaluation of the gender perspective </w:t>
            </w:r>
            <w:r w:rsidRPr="002A7B86">
              <w:rPr>
                <w:sz w:val="22"/>
                <w:szCs w:val="22"/>
                <w:lang w:val="en-US" w:eastAsia="en-US"/>
              </w:rPr>
              <w:t>of the</w:t>
            </w:r>
            <w:r w:rsidRPr="002A7B86">
              <w:rPr>
                <w:sz w:val="22"/>
                <w:szCs w:val="22"/>
                <w:lang w:val="mk-MK" w:eastAsia="en-US"/>
              </w:rPr>
              <w:t xml:space="preserve"> legislati</w:t>
            </w:r>
            <w:r w:rsidRPr="002A7B86">
              <w:rPr>
                <w:sz w:val="22"/>
                <w:szCs w:val="22"/>
                <w:lang w:val="en-US" w:eastAsia="en-US"/>
              </w:rPr>
              <w:t xml:space="preserve">ve acts </w:t>
            </w:r>
            <w:r w:rsidRPr="002A7B86">
              <w:rPr>
                <w:sz w:val="22"/>
                <w:szCs w:val="22"/>
                <w:lang w:val="mk-MK" w:eastAsia="en-US"/>
              </w:rPr>
              <w:t>regarding violence against women and girls</w:t>
            </w:r>
          </w:p>
          <w:p w:rsidR="00106D33" w:rsidRPr="002A7B86" w:rsidRDefault="00106D33" w:rsidP="00E67707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  <w:p w:rsidR="00106D33" w:rsidRPr="002A7B86" w:rsidRDefault="00106D33" w:rsidP="00D41AA7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2A7B86">
              <w:rPr>
                <w:sz w:val="22"/>
                <w:szCs w:val="22"/>
                <w:lang w:val="en-US" w:eastAsia="en-US"/>
              </w:rPr>
              <w:t>-Conducting of a gender analysis of laws which refer to natural / humanitarian crises and disasters;</w:t>
            </w:r>
          </w:p>
          <w:p w:rsidR="00106D33" w:rsidRPr="002A7B86" w:rsidRDefault="00106D33" w:rsidP="00D41AA7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2A7B86">
              <w:rPr>
                <w:sz w:val="22"/>
                <w:szCs w:val="22"/>
                <w:lang w:val="en-US" w:eastAsia="en-US"/>
              </w:rPr>
              <w:t>- Introduction of gender-sensitive measures for conflict resolution</w:t>
            </w:r>
          </w:p>
          <w:p w:rsidR="00106D33" w:rsidRPr="002A7B86" w:rsidRDefault="00106D33" w:rsidP="002C6F9C">
            <w:pPr>
              <w:rPr>
                <w:i/>
                <w:iCs/>
                <w:lang w:val="mk-MK" w:eastAsia="en-US"/>
              </w:rPr>
            </w:pPr>
          </w:p>
          <w:p w:rsidR="00106D33" w:rsidRPr="002A7B86" w:rsidRDefault="00106D33" w:rsidP="002C6F9C">
            <w:pPr>
              <w:rPr>
                <w:lang w:val="mk-MK" w:eastAsia="en-US"/>
              </w:rPr>
            </w:pPr>
          </w:p>
          <w:p w:rsidR="00106D33" w:rsidRPr="002A7B86" w:rsidRDefault="00106D33" w:rsidP="002C6F9C">
            <w:pPr>
              <w:rPr>
                <w:lang w:val="mk-MK" w:eastAsia="en-US"/>
              </w:rPr>
            </w:pPr>
            <w:r w:rsidRPr="002A7B86">
              <w:rPr>
                <w:sz w:val="22"/>
                <w:szCs w:val="22"/>
                <w:lang w:val="mk-MK" w:eastAsia="en-US"/>
              </w:rPr>
              <w:t xml:space="preserve">- </w:t>
            </w:r>
            <w:r w:rsidRPr="002A7B86">
              <w:rPr>
                <w:sz w:val="22"/>
                <w:szCs w:val="22"/>
                <w:lang w:val="en-US" w:eastAsia="en-US"/>
              </w:rPr>
              <w:t>Conducting of a gender a</w:t>
            </w:r>
            <w:r w:rsidRPr="002A7B86">
              <w:rPr>
                <w:sz w:val="22"/>
                <w:szCs w:val="22"/>
                <w:lang w:val="mk-MK" w:eastAsia="en-US"/>
              </w:rPr>
              <w:t>na</w:t>
            </w:r>
            <w:r w:rsidRPr="002A7B86">
              <w:rPr>
                <w:sz w:val="22"/>
                <w:szCs w:val="22"/>
                <w:lang w:val="en-US" w:eastAsia="en-US"/>
              </w:rPr>
              <w:t xml:space="preserve">lysis </w:t>
            </w:r>
            <w:r w:rsidRPr="002A7B86">
              <w:rPr>
                <w:sz w:val="22"/>
                <w:szCs w:val="22"/>
                <w:lang w:val="mk-MK" w:eastAsia="en-US"/>
              </w:rPr>
              <w:t xml:space="preserve">of the situation </w:t>
            </w:r>
            <w:r w:rsidRPr="002A7B86">
              <w:rPr>
                <w:sz w:val="22"/>
                <w:szCs w:val="22"/>
                <w:lang w:val="en-US" w:eastAsia="en-US"/>
              </w:rPr>
              <w:t>concerning</w:t>
            </w:r>
            <w:r w:rsidRPr="002A7B86">
              <w:rPr>
                <w:sz w:val="22"/>
                <w:szCs w:val="22"/>
                <w:lang w:val="mk-MK" w:eastAsia="en-US"/>
              </w:rPr>
              <w:t xml:space="preserve"> the impact of natural and humanitarian crises and disasters on women and girls </w:t>
            </w:r>
            <w:r w:rsidRPr="002A7B86">
              <w:rPr>
                <w:sz w:val="22"/>
                <w:szCs w:val="22"/>
                <w:lang w:val="en-US" w:eastAsia="en-US"/>
              </w:rPr>
              <w:t>on a</w:t>
            </w:r>
            <w:r w:rsidRPr="002A7B86">
              <w:rPr>
                <w:sz w:val="22"/>
                <w:szCs w:val="22"/>
                <w:lang w:val="mk-MK" w:eastAsia="en-US"/>
              </w:rPr>
              <w:t xml:space="preserve"> local and national level</w:t>
            </w:r>
            <w:r w:rsidRPr="002A7B86">
              <w:rPr>
                <w:sz w:val="22"/>
                <w:szCs w:val="22"/>
                <w:lang w:val="en-US" w:eastAsia="en-US"/>
              </w:rPr>
              <w:t xml:space="preserve"> </w:t>
            </w:r>
            <w:r w:rsidRPr="002A7B86">
              <w:rPr>
                <w:sz w:val="22"/>
                <w:szCs w:val="22"/>
                <w:lang w:val="mk-MK" w:eastAsia="en-US"/>
              </w:rPr>
              <w:t>(</w:t>
            </w:r>
            <w:r w:rsidRPr="002A7B86">
              <w:rPr>
                <w:sz w:val="22"/>
                <w:szCs w:val="22"/>
                <w:lang w:val="en-US" w:eastAsia="en-US"/>
              </w:rPr>
              <w:t xml:space="preserve">a </w:t>
            </w:r>
            <w:r w:rsidRPr="002A7B86">
              <w:rPr>
                <w:sz w:val="22"/>
                <w:szCs w:val="22"/>
                <w:lang w:val="mk-MK" w:eastAsia="en-US"/>
              </w:rPr>
              <w:t>gender-sensitive risk assessment);</w:t>
            </w:r>
          </w:p>
          <w:p w:rsidR="00106D33" w:rsidRPr="002A7B86" w:rsidRDefault="00106D33" w:rsidP="002C6F9C">
            <w:pPr>
              <w:rPr>
                <w:lang w:val="mk-MK" w:eastAsia="en-US"/>
              </w:rPr>
            </w:pPr>
          </w:p>
          <w:p w:rsidR="00106D33" w:rsidRPr="002A7B86" w:rsidRDefault="00106D33" w:rsidP="00A5058F">
            <w:pPr>
              <w:rPr>
                <w:lang w:val="mk-MK" w:eastAsia="en-US"/>
              </w:rPr>
            </w:pPr>
          </w:p>
        </w:tc>
        <w:tc>
          <w:tcPr>
            <w:tcW w:w="2410" w:type="dxa"/>
            <w:shd w:val="clear" w:color="auto" w:fill="E6EED5"/>
          </w:tcPr>
          <w:p w:rsidR="00106D33" w:rsidRPr="002A7B86" w:rsidRDefault="00106D33" w:rsidP="00380D4E">
            <w:pPr>
              <w:rPr>
                <w:noProof/>
                <w:lang w:val="mk-MK" w:eastAsia="en-US"/>
              </w:rPr>
            </w:pPr>
          </w:p>
          <w:p w:rsidR="00106D33" w:rsidRPr="002A7B86" w:rsidRDefault="00106D33" w:rsidP="00380D4E">
            <w:pPr>
              <w:rPr>
                <w:noProof/>
                <w:lang w:val="en-US" w:eastAsia="en-US"/>
              </w:rPr>
            </w:pPr>
            <w:r w:rsidRPr="002A7B86">
              <w:rPr>
                <w:noProof/>
                <w:sz w:val="22"/>
                <w:szCs w:val="22"/>
                <w:lang w:val="en-US" w:eastAsia="en-US"/>
              </w:rPr>
              <w:t>Conducted self/evaluations of the gender perspective in legal and other documents in relation to violence against women and girls</w:t>
            </w:r>
          </w:p>
          <w:p w:rsidR="00106D33" w:rsidRPr="002A7B86" w:rsidRDefault="00106D33" w:rsidP="00380D4E">
            <w:pPr>
              <w:rPr>
                <w:noProof/>
                <w:lang w:val="mk-MK" w:eastAsia="en-US"/>
              </w:rPr>
            </w:pPr>
          </w:p>
          <w:p w:rsidR="00106D33" w:rsidRPr="002A7B86" w:rsidRDefault="00106D33" w:rsidP="005F3EC3">
            <w:pPr>
              <w:rPr>
                <w:noProof/>
                <w:lang w:val="ru-RU" w:eastAsia="en-US"/>
              </w:rPr>
            </w:pPr>
          </w:p>
          <w:p w:rsidR="00106D33" w:rsidRPr="002A7B86" w:rsidRDefault="00106D33" w:rsidP="002A72B0">
            <w:pPr>
              <w:rPr>
                <w:noProof/>
                <w:lang w:val="en-US" w:eastAsia="en-US"/>
              </w:rPr>
            </w:pPr>
            <w:r w:rsidRPr="002A7B86">
              <w:rPr>
                <w:noProof/>
                <w:sz w:val="22"/>
                <w:szCs w:val="22"/>
                <w:lang w:val="en-US" w:eastAsia="en-US"/>
              </w:rPr>
              <w:t>Number of trainings on gender-sensitive measures for conflict resolution</w:t>
            </w:r>
          </w:p>
          <w:p w:rsidR="00106D33" w:rsidRPr="002A7B86" w:rsidRDefault="00106D33" w:rsidP="002A72B0">
            <w:pPr>
              <w:rPr>
                <w:noProof/>
                <w:lang w:val="en-US" w:eastAsia="en-US"/>
              </w:rPr>
            </w:pPr>
            <w:r w:rsidRPr="002A7B86">
              <w:rPr>
                <w:noProof/>
                <w:sz w:val="22"/>
                <w:szCs w:val="22"/>
                <w:lang w:val="en-US" w:eastAsia="en-US"/>
              </w:rPr>
              <w:t>Prepared analysis of the current situation on a local and national level, in terms of the impact of natural and humanitarian crises and disasters on women and girls;</w:t>
            </w:r>
          </w:p>
          <w:p w:rsidR="00106D33" w:rsidRPr="002A7B86" w:rsidRDefault="00106D33" w:rsidP="002A72B0">
            <w:pPr>
              <w:rPr>
                <w:noProof/>
                <w:lang w:val="en-US" w:eastAsia="en-US"/>
              </w:rPr>
            </w:pPr>
          </w:p>
          <w:p w:rsidR="00106D33" w:rsidRPr="002A7B86" w:rsidRDefault="00106D33" w:rsidP="002A72B0">
            <w:pPr>
              <w:rPr>
                <w:noProof/>
                <w:lang w:val="en-US" w:eastAsia="en-US"/>
              </w:rPr>
            </w:pPr>
          </w:p>
          <w:p w:rsidR="00106D33" w:rsidRPr="002A7B86" w:rsidRDefault="00106D33" w:rsidP="002A72B0">
            <w:pPr>
              <w:rPr>
                <w:noProof/>
                <w:lang w:val="en-US" w:eastAsia="en-US"/>
              </w:rPr>
            </w:pPr>
            <w:r w:rsidRPr="002A7B86">
              <w:rPr>
                <w:noProof/>
                <w:sz w:val="22"/>
                <w:szCs w:val="22"/>
                <w:lang w:val="en-US" w:eastAsia="en-US"/>
              </w:rPr>
              <w:t xml:space="preserve">Proposed and adopted initiatives for implementation of  the </w:t>
            </w:r>
            <w:r w:rsidRPr="002A7B86">
              <w:rPr>
                <w:i/>
                <w:iCs/>
                <w:noProof/>
                <w:sz w:val="22"/>
                <w:szCs w:val="22"/>
                <w:lang w:val="en-US" w:eastAsia="en-US"/>
              </w:rPr>
              <w:t>inter-departmental report</w:t>
            </w:r>
          </w:p>
        </w:tc>
        <w:tc>
          <w:tcPr>
            <w:tcW w:w="2410" w:type="dxa"/>
            <w:shd w:val="clear" w:color="auto" w:fill="E6EED5"/>
          </w:tcPr>
          <w:p w:rsidR="00106D33" w:rsidRPr="002A7B86" w:rsidRDefault="00106D33" w:rsidP="00380D4E">
            <w:pPr>
              <w:rPr>
                <w:noProof/>
                <w:lang w:val="mk-MK" w:eastAsia="en-US"/>
              </w:rPr>
            </w:pPr>
          </w:p>
          <w:p w:rsidR="00106D33" w:rsidRPr="002A7B86" w:rsidRDefault="00106D33" w:rsidP="002E6282">
            <w:pPr>
              <w:rPr>
                <w:noProof/>
                <w:lang w:val="en-US" w:eastAsia="en-US"/>
              </w:rPr>
            </w:pPr>
          </w:p>
          <w:p w:rsidR="00106D33" w:rsidRPr="002A7B86" w:rsidRDefault="00106D33" w:rsidP="00A92EC4">
            <w:pPr>
              <w:rPr>
                <w:noProof/>
                <w:lang w:val="mk-MK" w:eastAsia="en-US"/>
              </w:rPr>
            </w:pPr>
            <w:r w:rsidRPr="002A7B86">
              <w:rPr>
                <w:noProof/>
                <w:sz w:val="22"/>
                <w:szCs w:val="22"/>
                <w:lang w:val="en-US" w:eastAsia="en-US"/>
              </w:rPr>
              <w:t>2013-2015</w:t>
            </w:r>
          </w:p>
          <w:p w:rsidR="00106D33" w:rsidRPr="002A7B86" w:rsidRDefault="00106D33" w:rsidP="00A92EC4">
            <w:pPr>
              <w:rPr>
                <w:lang w:val="en-US" w:eastAsia="en-US"/>
              </w:rPr>
            </w:pPr>
            <w:r w:rsidRPr="002A7B86">
              <w:rPr>
                <w:noProof/>
                <w:sz w:val="22"/>
                <w:szCs w:val="22"/>
                <w:lang w:val="en-US" w:eastAsia="en-US"/>
              </w:rPr>
              <w:t>In accordance with the annual operational plans on gender equality of the Ministry of Labour and Social Policy</w:t>
            </w:r>
          </w:p>
        </w:tc>
      </w:tr>
      <w:tr w:rsidR="00106D33" w:rsidRPr="002A7B86">
        <w:trPr>
          <w:gridAfter w:val="1"/>
          <w:wAfter w:w="22" w:type="dxa"/>
          <w:trHeight w:val="530"/>
        </w:trPr>
        <w:tc>
          <w:tcPr>
            <w:tcW w:w="3582" w:type="dxa"/>
          </w:tcPr>
          <w:p w:rsidR="00106D33" w:rsidRPr="002A7B86" w:rsidRDefault="00106D33" w:rsidP="00380D4E">
            <w:pPr>
              <w:rPr>
                <w:lang w:val="mk-MK" w:eastAsia="en-US"/>
              </w:rPr>
            </w:pPr>
          </w:p>
          <w:p w:rsidR="00106D33" w:rsidRPr="002A7B86" w:rsidRDefault="00106D33" w:rsidP="00F5159C">
            <w:pPr>
              <w:rPr>
                <w:lang w:val="en-US" w:eastAsia="en-US"/>
              </w:rPr>
            </w:pPr>
            <w:r w:rsidRPr="002A7B86">
              <w:rPr>
                <w:sz w:val="22"/>
                <w:szCs w:val="22"/>
                <w:lang w:val="mk-MK" w:eastAsia="en-US"/>
              </w:rPr>
              <w:t xml:space="preserve">3.2 </w:t>
            </w:r>
            <w:r w:rsidRPr="002A7B86">
              <w:rPr>
                <w:sz w:val="22"/>
                <w:szCs w:val="22"/>
                <w:lang w:val="mk-MK"/>
              </w:rPr>
              <w:t xml:space="preserve"> </w:t>
            </w:r>
            <w:r w:rsidRPr="002A7B86">
              <w:rPr>
                <w:sz w:val="22"/>
                <w:szCs w:val="22"/>
                <w:lang w:val="en-US" w:eastAsia="en-US"/>
              </w:rPr>
              <w:t>Strengthened role of public institutions responsible for the protection of victims of domestic violence through expansion of their competences and strengthening of their capacities to deal with gender-based violence</w:t>
            </w:r>
          </w:p>
        </w:tc>
        <w:tc>
          <w:tcPr>
            <w:tcW w:w="5598" w:type="dxa"/>
            <w:shd w:val="clear" w:color="auto" w:fill="E6EED5"/>
          </w:tcPr>
          <w:p w:rsidR="00106D33" w:rsidRPr="002A7B86" w:rsidRDefault="00106D33" w:rsidP="008705CB">
            <w:pPr>
              <w:rPr>
                <w:lang w:val="mk-MK" w:eastAsia="en-US"/>
              </w:rPr>
            </w:pPr>
          </w:p>
          <w:p w:rsidR="00106D33" w:rsidRPr="002A7B86" w:rsidRDefault="00106D33" w:rsidP="00B27A26">
            <w:pPr>
              <w:rPr>
                <w:lang w:val="en-US" w:eastAsia="en-US"/>
              </w:rPr>
            </w:pPr>
            <w:r w:rsidRPr="002A7B86">
              <w:rPr>
                <w:sz w:val="22"/>
                <w:szCs w:val="22"/>
                <w:lang w:val="en-US" w:eastAsia="en-US"/>
              </w:rPr>
              <w:t>- Improvement of the function of the centers for public services for women - victims of domestic violence by improving the quality of services and the accessibility to services, as well as by putting in place effective processes and procedures;</w:t>
            </w:r>
          </w:p>
          <w:p w:rsidR="00106D33" w:rsidRPr="002A7B86" w:rsidRDefault="00106D33" w:rsidP="00B27A26">
            <w:pPr>
              <w:rPr>
                <w:i/>
                <w:iCs/>
                <w:lang w:val="en-US" w:eastAsia="en-US"/>
              </w:rPr>
            </w:pPr>
            <w:r w:rsidRPr="002A7B86">
              <w:rPr>
                <w:sz w:val="22"/>
                <w:szCs w:val="22"/>
                <w:lang w:val="en-US" w:eastAsia="en-US"/>
              </w:rPr>
              <w:t>- Cooperation and coordination</w:t>
            </w:r>
          </w:p>
        </w:tc>
        <w:tc>
          <w:tcPr>
            <w:tcW w:w="2410" w:type="dxa"/>
            <w:shd w:val="clear" w:color="auto" w:fill="E6EED5"/>
          </w:tcPr>
          <w:p w:rsidR="00106D33" w:rsidRPr="002A7B86" w:rsidRDefault="00106D33" w:rsidP="002E77EF">
            <w:pPr>
              <w:rPr>
                <w:noProof/>
                <w:lang w:val="en-US" w:eastAsia="en-US"/>
              </w:rPr>
            </w:pPr>
          </w:p>
          <w:p w:rsidR="00106D33" w:rsidRPr="002A7B86" w:rsidRDefault="00106D33" w:rsidP="006A3F85">
            <w:pPr>
              <w:rPr>
                <w:noProof/>
                <w:lang w:val="en-US" w:eastAsia="en-US"/>
              </w:rPr>
            </w:pPr>
            <w:r w:rsidRPr="002A7B86">
              <w:rPr>
                <w:noProof/>
                <w:sz w:val="22"/>
                <w:szCs w:val="22"/>
                <w:lang w:val="en-US" w:eastAsia="en-US"/>
              </w:rPr>
              <w:t>-Number of women</w:t>
            </w:r>
          </w:p>
          <w:p w:rsidR="00106D33" w:rsidRPr="002A7B86" w:rsidRDefault="00106D33" w:rsidP="006A3F85">
            <w:pPr>
              <w:rPr>
                <w:noProof/>
                <w:lang w:val="en-US" w:eastAsia="en-US"/>
              </w:rPr>
            </w:pPr>
            <w:r w:rsidRPr="002A7B86">
              <w:rPr>
                <w:noProof/>
                <w:sz w:val="22"/>
                <w:szCs w:val="22"/>
                <w:lang w:val="en-US" w:eastAsia="en-US"/>
              </w:rPr>
              <w:t>-% of budgets allocated to meet women's needs</w:t>
            </w:r>
          </w:p>
          <w:p w:rsidR="00106D33" w:rsidRPr="002A7B86" w:rsidRDefault="00106D33" w:rsidP="002E77EF">
            <w:pPr>
              <w:rPr>
                <w:noProof/>
                <w:lang w:val="en-US" w:eastAsia="en-US"/>
              </w:rPr>
            </w:pPr>
            <w:r w:rsidRPr="002A7B86">
              <w:rPr>
                <w:noProof/>
                <w:sz w:val="22"/>
                <w:szCs w:val="22"/>
                <w:lang w:val="en-US" w:eastAsia="en-US"/>
              </w:rPr>
              <w:t>- Number of resolved cases (or actions taken upon cases)</w:t>
            </w:r>
          </w:p>
          <w:p w:rsidR="00106D33" w:rsidRPr="002A7B86" w:rsidRDefault="00106D33" w:rsidP="002E77EF">
            <w:pPr>
              <w:rPr>
                <w:noProof/>
                <w:lang w:val="en-US" w:eastAsia="en-US"/>
              </w:rPr>
            </w:pPr>
            <w:r w:rsidRPr="002A7B86">
              <w:rPr>
                <w:noProof/>
                <w:sz w:val="22"/>
                <w:szCs w:val="22"/>
                <w:lang w:val="en-US" w:eastAsia="en-US"/>
              </w:rPr>
              <w:t>-% of referred women who are covered by the legal requirements</w:t>
            </w:r>
          </w:p>
        </w:tc>
        <w:tc>
          <w:tcPr>
            <w:tcW w:w="2410" w:type="dxa"/>
            <w:shd w:val="clear" w:color="auto" w:fill="E6EED5"/>
          </w:tcPr>
          <w:p w:rsidR="00106D33" w:rsidRPr="002A7B86" w:rsidRDefault="00106D33" w:rsidP="00C91DAC">
            <w:pPr>
              <w:rPr>
                <w:noProof/>
                <w:lang w:val="mk-MK" w:eastAsia="en-US"/>
              </w:rPr>
            </w:pPr>
            <w:r w:rsidRPr="002A7B86">
              <w:rPr>
                <w:noProof/>
                <w:sz w:val="22"/>
                <w:szCs w:val="22"/>
                <w:lang w:val="en-US" w:eastAsia="en-US"/>
              </w:rPr>
              <w:t>2013-2015</w:t>
            </w:r>
          </w:p>
          <w:p w:rsidR="00106D33" w:rsidRPr="002A7B86" w:rsidRDefault="00106D33" w:rsidP="00C91DAC">
            <w:pPr>
              <w:rPr>
                <w:noProof/>
                <w:lang w:val="en-US" w:eastAsia="en-US"/>
              </w:rPr>
            </w:pPr>
            <w:r w:rsidRPr="002A7B86">
              <w:rPr>
                <w:noProof/>
                <w:sz w:val="22"/>
                <w:szCs w:val="22"/>
                <w:lang w:val="en-US" w:eastAsia="en-US"/>
              </w:rPr>
              <w:t>In accordance with the annual operational plans on gender equality of the Ministry of Labour and Social Policy</w:t>
            </w:r>
          </w:p>
        </w:tc>
      </w:tr>
      <w:tr w:rsidR="00106D33" w:rsidRPr="002A7B86">
        <w:trPr>
          <w:gridAfter w:val="1"/>
          <w:wAfter w:w="22" w:type="dxa"/>
          <w:trHeight w:val="1477"/>
        </w:trPr>
        <w:tc>
          <w:tcPr>
            <w:tcW w:w="3582" w:type="dxa"/>
          </w:tcPr>
          <w:p w:rsidR="00106D33" w:rsidRPr="002A7B86" w:rsidRDefault="00106D33" w:rsidP="00380D4E">
            <w:pPr>
              <w:rPr>
                <w:lang w:val="mk-MK" w:eastAsia="en-US"/>
              </w:rPr>
            </w:pPr>
          </w:p>
          <w:p w:rsidR="00106D33" w:rsidRPr="002A7B86" w:rsidRDefault="00106D33" w:rsidP="00AD12FB">
            <w:pPr>
              <w:ind w:left="-90"/>
              <w:rPr>
                <w:lang w:val="en-US"/>
              </w:rPr>
            </w:pPr>
            <w:r w:rsidRPr="002A7B86">
              <w:rPr>
                <w:sz w:val="22"/>
                <w:szCs w:val="22"/>
                <w:lang w:val="mk-MK" w:eastAsia="en-US"/>
              </w:rPr>
              <w:t xml:space="preserve">3.4 </w:t>
            </w:r>
            <w:r w:rsidRPr="002A7B86">
              <w:rPr>
                <w:sz w:val="22"/>
                <w:szCs w:val="22"/>
                <w:lang w:val="mk-MK"/>
              </w:rPr>
              <w:t xml:space="preserve"> </w:t>
            </w:r>
            <w:r w:rsidRPr="002A7B86">
              <w:rPr>
                <w:sz w:val="22"/>
                <w:szCs w:val="22"/>
                <w:lang w:val="en-US"/>
              </w:rPr>
              <w:t xml:space="preserve">Gender assessment of threats and exposure to risks  and formulation of a gender sensitive policy for prevention and protection </w:t>
            </w:r>
          </w:p>
        </w:tc>
        <w:tc>
          <w:tcPr>
            <w:tcW w:w="5598" w:type="dxa"/>
            <w:shd w:val="clear" w:color="auto" w:fill="E6EED5"/>
          </w:tcPr>
          <w:p w:rsidR="00106D33" w:rsidRPr="002A7B86" w:rsidRDefault="00106D33" w:rsidP="00181069">
            <w:pPr>
              <w:rPr>
                <w:lang w:val="en-US"/>
              </w:rPr>
            </w:pPr>
          </w:p>
          <w:p w:rsidR="00106D33" w:rsidRPr="002A7B86" w:rsidRDefault="00106D33" w:rsidP="00181069">
            <w:pPr>
              <w:rPr>
                <w:lang w:val="en-US"/>
              </w:rPr>
            </w:pPr>
            <w:r w:rsidRPr="002A7B86">
              <w:rPr>
                <w:sz w:val="22"/>
                <w:szCs w:val="22"/>
                <w:lang w:val="en-US"/>
              </w:rPr>
              <w:t>- Improving</w:t>
            </w:r>
            <w:r w:rsidRPr="002A7B86">
              <w:rPr>
                <w:sz w:val="22"/>
                <w:szCs w:val="22"/>
                <w:lang w:val="mk-MK"/>
              </w:rPr>
              <w:t xml:space="preserve"> the </w:t>
            </w:r>
            <w:r w:rsidRPr="002A7B86">
              <w:rPr>
                <w:sz w:val="22"/>
                <w:szCs w:val="22"/>
                <w:lang w:val="en-US"/>
              </w:rPr>
              <w:t>guidelines</w:t>
            </w:r>
            <w:r w:rsidRPr="002A7B86">
              <w:rPr>
                <w:sz w:val="22"/>
                <w:szCs w:val="22"/>
                <w:lang w:val="mk-MK"/>
              </w:rPr>
              <w:t xml:space="preserve"> for making </w:t>
            </w:r>
            <w:r w:rsidRPr="002A7B86">
              <w:rPr>
                <w:sz w:val="22"/>
                <w:szCs w:val="22"/>
                <w:lang w:val="en-US"/>
              </w:rPr>
              <w:t xml:space="preserve">a </w:t>
            </w:r>
            <w:r w:rsidRPr="002A7B86">
              <w:rPr>
                <w:sz w:val="22"/>
                <w:szCs w:val="22"/>
                <w:lang w:val="mk-MK"/>
              </w:rPr>
              <w:t>threat</w:t>
            </w:r>
            <w:r w:rsidRPr="002A7B86">
              <w:rPr>
                <w:sz w:val="22"/>
                <w:szCs w:val="22"/>
                <w:lang w:val="en-US"/>
              </w:rPr>
              <w:t xml:space="preserve"> and</w:t>
            </w:r>
            <w:r w:rsidRPr="002A7B86">
              <w:rPr>
                <w:sz w:val="22"/>
                <w:szCs w:val="22"/>
                <w:lang w:val="mk-MK"/>
              </w:rPr>
              <w:t xml:space="preserve"> </w:t>
            </w:r>
            <w:r w:rsidRPr="002A7B86">
              <w:rPr>
                <w:sz w:val="22"/>
                <w:szCs w:val="22"/>
                <w:lang w:val="en-US"/>
              </w:rPr>
              <w:t xml:space="preserve">risk </w:t>
            </w:r>
            <w:r w:rsidRPr="002A7B86">
              <w:rPr>
                <w:sz w:val="22"/>
                <w:szCs w:val="22"/>
                <w:lang w:val="mk-MK"/>
              </w:rPr>
              <w:t>exposure</w:t>
            </w:r>
            <w:r w:rsidRPr="002A7B86">
              <w:rPr>
                <w:sz w:val="22"/>
                <w:szCs w:val="22"/>
                <w:lang w:val="en-US"/>
              </w:rPr>
              <w:t xml:space="preserve"> assessment</w:t>
            </w:r>
            <w:r w:rsidRPr="002A7B86">
              <w:rPr>
                <w:sz w:val="22"/>
                <w:szCs w:val="22"/>
                <w:lang w:val="mk-MK"/>
              </w:rPr>
              <w:t xml:space="preserve"> from a gender perspective</w:t>
            </w:r>
          </w:p>
          <w:p w:rsidR="00106D33" w:rsidRPr="002A7B86" w:rsidRDefault="00106D33" w:rsidP="00181069">
            <w:pPr>
              <w:rPr>
                <w:lang w:val="en-US"/>
              </w:rPr>
            </w:pPr>
          </w:p>
          <w:p w:rsidR="00106D33" w:rsidRPr="002A7B86" w:rsidRDefault="00106D33" w:rsidP="00DC32D7">
            <w:pPr>
              <w:rPr>
                <w:lang w:val="en-US"/>
              </w:rPr>
            </w:pPr>
            <w:r w:rsidRPr="002A7B86">
              <w:rPr>
                <w:sz w:val="22"/>
                <w:szCs w:val="22"/>
                <w:lang w:val="en-US"/>
              </w:rPr>
              <w:t>- Training of trainers for threat and risk exposure assessment from a gender perspective</w:t>
            </w:r>
          </w:p>
          <w:p w:rsidR="00106D33" w:rsidRPr="002A7B86" w:rsidRDefault="00106D33" w:rsidP="00DC32D7">
            <w:pPr>
              <w:rPr>
                <w:lang w:val="en-US"/>
              </w:rPr>
            </w:pPr>
          </w:p>
          <w:p w:rsidR="00106D33" w:rsidRPr="002A7B86" w:rsidRDefault="00106D33" w:rsidP="00DC32D7">
            <w:pPr>
              <w:rPr>
                <w:lang w:val="en-US" w:eastAsia="en-US"/>
              </w:rPr>
            </w:pPr>
            <w:r w:rsidRPr="002A7B86">
              <w:rPr>
                <w:sz w:val="22"/>
                <w:szCs w:val="22"/>
                <w:lang w:val="en-US"/>
              </w:rPr>
              <w:t>- Establishment / development of methodology for collection and analysis of gender-sensitive data on exposure risk and consequences of crises</w:t>
            </w:r>
          </w:p>
        </w:tc>
        <w:tc>
          <w:tcPr>
            <w:tcW w:w="2410" w:type="dxa"/>
            <w:shd w:val="clear" w:color="auto" w:fill="E6EED5"/>
          </w:tcPr>
          <w:p w:rsidR="00106D33" w:rsidRPr="002A7B86" w:rsidRDefault="00106D33" w:rsidP="005F3EC3">
            <w:pPr>
              <w:rPr>
                <w:lang w:val="en-US" w:eastAsia="en-US"/>
              </w:rPr>
            </w:pPr>
          </w:p>
          <w:p w:rsidR="00106D33" w:rsidRPr="002A7B86" w:rsidRDefault="00106D33" w:rsidP="009939F8">
            <w:pPr>
              <w:rPr>
                <w:lang w:val="en-US" w:eastAsia="en-US"/>
              </w:rPr>
            </w:pPr>
            <w:r w:rsidRPr="002A7B86">
              <w:rPr>
                <w:sz w:val="22"/>
                <w:szCs w:val="22"/>
                <w:lang w:val="en-US" w:eastAsia="en-US"/>
              </w:rPr>
              <w:t>- Number of training hours</w:t>
            </w:r>
          </w:p>
          <w:p w:rsidR="00106D33" w:rsidRPr="002A7B86" w:rsidRDefault="00106D33" w:rsidP="009939F8">
            <w:pPr>
              <w:rPr>
                <w:lang w:val="en-US" w:eastAsia="en-US"/>
              </w:rPr>
            </w:pPr>
          </w:p>
          <w:p w:rsidR="00106D33" w:rsidRPr="002A7B86" w:rsidRDefault="00106D33" w:rsidP="009939F8">
            <w:pPr>
              <w:rPr>
                <w:lang w:val="en-US" w:eastAsia="en-US"/>
              </w:rPr>
            </w:pPr>
            <w:r w:rsidRPr="002A7B86">
              <w:rPr>
                <w:sz w:val="22"/>
                <w:szCs w:val="22"/>
                <w:lang w:val="en-US" w:eastAsia="en-US"/>
              </w:rPr>
              <w:t>-Number of references to Resolution 1325 (how many references have been made to Resolution 1325) in strategic documents for prevention and protection;</w:t>
            </w:r>
          </w:p>
          <w:p w:rsidR="00106D33" w:rsidRPr="002A7B86" w:rsidRDefault="00106D33" w:rsidP="009939F8">
            <w:pPr>
              <w:rPr>
                <w:lang w:val="en-US" w:eastAsia="en-US"/>
              </w:rPr>
            </w:pPr>
          </w:p>
          <w:p w:rsidR="00106D33" w:rsidRPr="002A7B86" w:rsidRDefault="00106D33" w:rsidP="009939F8">
            <w:pPr>
              <w:rPr>
                <w:lang w:val="en-US" w:eastAsia="en-US"/>
              </w:rPr>
            </w:pPr>
            <w:r w:rsidRPr="002A7B86">
              <w:rPr>
                <w:sz w:val="22"/>
                <w:szCs w:val="22"/>
                <w:lang w:val="en-US" w:eastAsia="en-US"/>
              </w:rPr>
              <w:t>- Number and type of changes proposed in strategic and normative legal documents.</w:t>
            </w:r>
          </w:p>
          <w:p w:rsidR="00106D33" w:rsidRPr="002A7B86" w:rsidRDefault="00106D33" w:rsidP="009939F8">
            <w:pPr>
              <w:rPr>
                <w:lang w:val="en-US" w:eastAsia="en-US"/>
              </w:rPr>
            </w:pPr>
          </w:p>
          <w:p w:rsidR="00106D33" w:rsidRPr="002A7B86" w:rsidRDefault="00106D33" w:rsidP="009939F8">
            <w:pPr>
              <w:rPr>
                <w:lang w:val="en-US" w:eastAsia="en-US"/>
              </w:rPr>
            </w:pPr>
            <w:r w:rsidRPr="002A7B86">
              <w:rPr>
                <w:sz w:val="22"/>
                <w:szCs w:val="22"/>
                <w:lang w:val="en-US" w:eastAsia="en-US"/>
              </w:rPr>
              <w:t>- Edited guideline (or proposed changes to the guidelines to the Center for Crisis Management)</w:t>
            </w:r>
          </w:p>
          <w:p w:rsidR="00106D33" w:rsidRPr="002A7B86" w:rsidRDefault="00106D33" w:rsidP="00380D4E">
            <w:pPr>
              <w:rPr>
                <w:lang w:val="mk-MK" w:eastAsia="en-US"/>
              </w:rPr>
            </w:pPr>
          </w:p>
        </w:tc>
        <w:tc>
          <w:tcPr>
            <w:tcW w:w="2410" w:type="dxa"/>
            <w:shd w:val="clear" w:color="auto" w:fill="E6EED5"/>
          </w:tcPr>
          <w:p w:rsidR="00106D33" w:rsidRPr="002A7B86" w:rsidRDefault="00106D33" w:rsidP="00380D4E">
            <w:pPr>
              <w:rPr>
                <w:noProof/>
                <w:lang w:val="en-US" w:eastAsia="en-US"/>
              </w:rPr>
            </w:pPr>
          </w:p>
          <w:p w:rsidR="00106D33" w:rsidRPr="002A7B86" w:rsidRDefault="00106D33" w:rsidP="00C91DAC">
            <w:pPr>
              <w:rPr>
                <w:noProof/>
                <w:lang w:val="mk-MK" w:eastAsia="en-US"/>
              </w:rPr>
            </w:pPr>
            <w:r w:rsidRPr="002A7B86">
              <w:rPr>
                <w:noProof/>
                <w:sz w:val="22"/>
                <w:szCs w:val="22"/>
                <w:lang w:val="en-US" w:eastAsia="en-US"/>
              </w:rPr>
              <w:t>2013-2015</w:t>
            </w:r>
          </w:p>
          <w:p w:rsidR="00106D33" w:rsidRPr="002A7B86" w:rsidRDefault="00106D33" w:rsidP="00C91DAC">
            <w:pPr>
              <w:rPr>
                <w:lang w:val="en-US" w:eastAsia="en-US"/>
              </w:rPr>
            </w:pPr>
            <w:r w:rsidRPr="002A7B86">
              <w:rPr>
                <w:noProof/>
                <w:sz w:val="22"/>
                <w:szCs w:val="22"/>
                <w:lang w:val="en-US" w:eastAsia="en-US"/>
              </w:rPr>
              <w:t>In accordance with the annual operational plans on gender equality of the Ministry of Labour and Social Policy</w:t>
            </w:r>
          </w:p>
        </w:tc>
      </w:tr>
      <w:tr w:rsidR="00106D33" w:rsidRPr="002A7B86">
        <w:trPr>
          <w:gridAfter w:val="1"/>
          <w:wAfter w:w="22" w:type="dxa"/>
          <w:trHeight w:val="530"/>
        </w:trPr>
        <w:tc>
          <w:tcPr>
            <w:tcW w:w="3582" w:type="dxa"/>
          </w:tcPr>
          <w:p w:rsidR="00106D33" w:rsidRPr="002A7B86" w:rsidRDefault="00106D33" w:rsidP="001E0FF1">
            <w:pPr>
              <w:rPr>
                <w:lang w:val="mk-MK" w:eastAsia="en-US"/>
              </w:rPr>
            </w:pPr>
          </w:p>
        </w:tc>
        <w:tc>
          <w:tcPr>
            <w:tcW w:w="5598" w:type="dxa"/>
            <w:shd w:val="clear" w:color="auto" w:fill="E6EED5"/>
          </w:tcPr>
          <w:p w:rsidR="00106D33" w:rsidRPr="002A7B86" w:rsidRDefault="00106D33" w:rsidP="00193492">
            <w:pPr>
              <w:rPr>
                <w:lang w:val="mk-MK"/>
              </w:rPr>
            </w:pPr>
          </w:p>
          <w:p w:rsidR="00106D33" w:rsidRPr="002A7B86" w:rsidRDefault="00106D33" w:rsidP="00C33D70">
            <w:pPr>
              <w:rPr>
                <w:lang w:val="mk-MK" w:eastAsia="en-US"/>
              </w:rPr>
            </w:pPr>
          </w:p>
        </w:tc>
        <w:tc>
          <w:tcPr>
            <w:tcW w:w="2410" w:type="dxa"/>
            <w:shd w:val="clear" w:color="auto" w:fill="E6EED5"/>
          </w:tcPr>
          <w:p w:rsidR="00106D33" w:rsidRPr="002A7B86" w:rsidRDefault="00106D33" w:rsidP="009C7142">
            <w:pPr>
              <w:rPr>
                <w:lang w:val="en-US" w:eastAsia="en-US"/>
              </w:rPr>
            </w:pPr>
            <w:r w:rsidRPr="002A7B86">
              <w:rPr>
                <w:sz w:val="22"/>
                <w:szCs w:val="22"/>
                <w:lang w:val="en-US" w:eastAsia="en-US"/>
              </w:rPr>
              <w:t xml:space="preserve">Number of implemented trainings and training coverage of employees </w:t>
            </w:r>
          </w:p>
        </w:tc>
        <w:tc>
          <w:tcPr>
            <w:tcW w:w="2410" w:type="dxa"/>
            <w:shd w:val="clear" w:color="auto" w:fill="E6EED5"/>
          </w:tcPr>
          <w:p w:rsidR="00106D33" w:rsidRPr="002A7B86" w:rsidRDefault="00106D33" w:rsidP="002E6282">
            <w:pPr>
              <w:rPr>
                <w:lang w:val="mk-MK" w:eastAsia="en-US"/>
              </w:rPr>
            </w:pPr>
          </w:p>
        </w:tc>
      </w:tr>
      <w:tr w:rsidR="00106D33" w:rsidRPr="002A7B86">
        <w:trPr>
          <w:trHeight w:val="530"/>
        </w:trPr>
        <w:tc>
          <w:tcPr>
            <w:tcW w:w="14022" w:type="dxa"/>
            <w:gridSpan w:val="5"/>
          </w:tcPr>
          <w:p w:rsidR="00106D33" w:rsidRPr="002A7B86" w:rsidRDefault="00106D33" w:rsidP="00A07BFB">
            <w:pPr>
              <w:rPr>
                <w:lang w:val="mk-MK" w:eastAsia="en-US"/>
              </w:rPr>
            </w:pPr>
            <w:r w:rsidRPr="002A7B86">
              <w:rPr>
                <w:sz w:val="22"/>
                <w:szCs w:val="22"/>
                <w:lang w:val="mk-MK" w:eastAsia="en-US"/>
              </w:rPr>
              <w:t xml:space="preserve">Indicator for </w:t>
            </w:r>
            <w:r w:rsidRPr="002A7B86">
              <w:rPr>
                <w:sz w:val="22"/>
                <w:szCs w:val="22"/>
                <w:lang w:val="en-US" w:eastAsia="en-US"/>
              </w:rPr>
              <w:t>s</w:t>
            </w:r>
            <w:r w:rsidRPr="002A7B86">
              <w:rPr>
                <w:sz w:val="22"/>
                <w:szCs w:val="22"/>
                <w:lang w:val="mk-MK" w:eastAsia="en-US"/>
              </w:rPr>
              <w:t xml:space="preserve">trategic </w:t>
            </w:r>
            <w:r w:rsidRPr="002A7B86">
              <w:rPr>
                <w:sz w:val="22"/>
                <w:szCs w:val="22"/>
                <w:lang w:val="en-US" w:eastAsia="en-US"/>
              </w:rPr>
              <w:t>objective</w:t>
            </w:r>
            <w:r w:rsidRPr="002A7B86">
              <w:rPr>
                <w:sz w:val="22"/>
                <w:szCs w:val="22"/>
                <w:lang w:val="mk-MK" w:eastAsia="en-US"/>
              </w:rPr>
              <w:t xml:space="preserve"> 3</w:t>
            </w:r>
            <w:r w:rsidRPr="002A7B86">
              <w:rPr>
                <w:sz w:val="22"/>
                <w:szCs w:val="22"/>
                <w:lang w:val="en-US" w:eastAsia="en-US"/>
              </w:rPr>
              <w:t>: Strengthened</w:t>
            </w:r>
            <w:r w:rsidRPr="002A7B86">
              <w:rPr>
                <w:sz w:val="22"/>
                <w:szCs w:val="22"/>
                <w:lang w:val="mk-MK" w:eastAsia="en-US"/>
              </w:rPr>
              <w:t xml:space="preserve"> function </w:t>
            </w:r>
            <w:r w:rsidRPr="002A7B86">
              <w:rPr>
                <w:sz w:val="22"/>
                <w:szCs w:val="22"/>
                <w:lang w:val="en-US" w:eastAsia="en-US"/>
              </w:rPr>
              <w:t>of</w:t>
            </w:r>
            <w:r w:rsidRPr="002A7B86">
              <w:rPr>
                <w:sz w:val="22"/>
                <w:szCs w:val="22"/>
                <w:lang w:val="mk-MK" w:eastAsia="en-US"/>
              </w:rPr>
              <w:t xml:space="preserve"> prevention </w:t>
            </w:r>
            <w:r w:rsidRPr="002A7B86">
              <w:rPr>
                <w:sz w:val="22"/>
                <w:szCs w:val="22"/>
                <w:lang w:val="en-US" w:eastAsia="en-US"/>
              </w:rPr>
              <w:t xml:space="preserve">of </w:t>
            </w:r>
            <w:r w:rsidRPr="002A7B86">
              <w:rPr>
                <w:sz w:val="22"/>
                <w:szCs w:val="22"/>
                <w:lang w:val="mk-MK" w:eastAsia="en-US"/>
              </w:rPr>
              <w:t>violence against women and girls and improved mechanisms for gender-sensitive assessments of risks from disasters.</w:t>
            </w:r>
          </w:p>
        </w:tc>
      </w:tr>
      <w:tr w:rsidR="00106D33" w:rsidRPr="002A7B86">
        <w:trPr>
          <w:trHeight w:val="530"/>
        </w:trPr>
        <w:tc>
          <w:tcPr>
            <w:tcW w:w="14022" w:type="dxa"/>
            <w:gridSpan w:val="5"/>
          </w:tcPr>
          <w:p w:rsidR="00106D33" w:rsidRPr="002A7B86" w:rsidRDefault="00106D33" w:rsidP="00E55BFD">
            <w:pPr>
              <w:spacing w:after="240"/>
              <w:rPr>
                <w:noProof/>
                <w:lang w:val="mk-MK" w:eastAsia="en-US"/>
              </w:rPr>
            </w:pPr>
            <w:r w:rsidRPr="002A7B86">
              <w:rPr>
                <w:sz w:val="22"/>
                <w:szCs w:val="22"/>
                <w:u w:val="single"/>
                <w:lang w:val="en-US" w:eastAsia="en-US"/>
              </w:rPr>
              <w:t>Responsible institutions</w:t>
            </w:r>
            <w:r w:rsidRPr="002A7B86">
              <w:rPr>
                <w:sz w:val="22"/>
                <w:szCs w:val="22"/>
                <w:lang w:val="en-US" w:eastAsia="en-US"/>
              </w:rPr>
              <w:t xml:space="preserve">: </w:t>
            </w:r>
            <w:r w:rsidRPr="002A7B86">
              <w:rPr>
                <w:noProof/>
                <w:sz w:val="22"/>
                <w:szCs w:val="22"/>
                <w:lang w:val="mk-MK" w:eastAsia="en-US"/>
              </w:rPr>
              <w:t xml:space="preserve">Ministry of Labour and Social </w:t>
            </w:r>
            <w:r w:rsidRPr="002A7B86">
              <w:rPr>
                <w:noProof/>
                <w:sz w:val="22"/>
                <w:szCs w:val="22"/>
                <w:lang w:val="en-US" w:eastAsia="en-US"/>
              </w:rPr>
              <w:t>Policy</w:t>
            </w:r>
            <w:r w:rsidRPr="002A7B86">
              <w:rPr>
                <w:noProof/>
                <w:sz w:val="22"/>
                <w:szCs w:val="22"/>
                <w:lang w:val="mk-MK" w:eastAsia="en-US"/>
              </w:rPr>
              <w:t xml:space="preserve"> in collaboration with the</w:t>
            </w:r>
            <w:r w:rsidRPr="002A7B86">
              <w:rPr>
                <w:noProof/>
                <w:sz w:val="22"/>
                <w:szCs w:val="22"/>
                <w:lang w:val="en-US" w:eastAsia="en-US"/>
              </w:rPr>
              <w:t xml:space="preserve"> </w:t>
            </w:r>
            <w:r w:rsidRPr="002A7B86">
              <w:rPr>
                <w:noProof/>
                <w:sz w:val="22"/>
                <w:szCs w:val="22"/>
                <w:lang w:val="mk-MK" w:eastAsia="en-US"/>
              </w:rPr>
              <w:t>Crisis</w:t>
            </w:r>
            <w:r w:rsidRPr="002A7B86">
              <w:rPr>
                <w:noProof/>
                <w:sz w:val="22"/>
                <w:szCs w:val="22"/>
                <w:lang w:val="en-US" w:eastAsia="en-US"/>
              </w:rPr>
              <w:t xml:space="preserve"> Management Center</w:t>
            </w:r>
            <w:r w:rsidRPr="002A7B86">
              <w:rPr>
                <w:noProof/>
                <w:sz w:val="22"/>
                <w:szCs w:val="22"/>
                <w:lang w:val="mk-MK" w:eastAsia="en-US"/>
              </w:rPr>
              <w:t xml:space="preserve">, </w:t>
            </w:r>
            <w:r w:rsidRPr="002A7B86">
              <w:rPr>
                <w:noProof/>
                <w:sz w:val="22"/>
                <w:szCs w:val="22"/>
                <w:lang w:val="en-US" w:eastAsia="en-US"/>
              </w:rPr>
              <w:t>c</w:t>
            </w:r>
            <w:r w:rsidRPr="002A7B86">
              <w:rPr>
                <w:noProof/>
                <w:sz w:val="22"/>
                <w:szCs w:val="22"/>
                <w:lang w:val="mk-MK" w:eastAsia="en-US"/>
              </w:rPr>
              <w:t xml:space="preserve">ivil </w:t>
            </w:r>
            <w:r w:rsidRPr="002A7B86">
              <w:rPr>
                <w:noProof/>
                <w:sz w:val="22"/>
                <w:szCs w:val="22"/>
                <w:lang w:val="en-US" w:eastAsia="en-US"/>
              </w:rPr>
              <w:t>s</w:t>
            </w:r>
            <w:r w:rsidRPr="002A7B86">
              <w:rPr>
                <w:noProof/>
                <w:sz w:val="22"/>
                <w:szCs w:val="22"/>
                <w:lang w:val="mk-MK" w:eastAsia="en-US"/>
              </w:rPr>
              <w:t xml:space="preserve">ector, </w:t>
            </w:r>
            <w:r w:rsidRPr="002A7B86">
              <w:rPr>
                <w:noProof/>
                <w:sz w:val="22"/>
                <w:szCs w:val="22"/>
                <w:lang w:val="en-US" w:eastAsia="en-US"/>
              </w:rPr>
              <w:t>Cabinet</w:t>
            </w:r>
            <w:r w:rsidRPr="002A7B86">
              <w:rPr>
                <w:noProof/>
                <w:sz w:val="22"/>
                <w:szCs w:val="22"/>
                <w:lang w:val="mk-MK" w:eastAsia="en-US"/>
              </w:rPr>
              <w:t xml:space="preserve"> of the President of the Republic of Macedonia, Ministry of Justice, Parliament of the Republic of Macedonia, Red Cross of the Republic of Macedonia</w:t>
            </w:r>
            <w:r w:rsidRPr="002A7B86">
              <w:rPr>
                <w:noProof/>
                <w:sz w:val="22"/>
                <w:szCs w:val="22"/>
                <w:lang w:val="en-US" w:eastAsia="en-US"/>
              </w:rPr>
              <w:t>, the</w:t>
            </w:r>
            <w:r w:rsidRPr="002A7B86">
              <w:rPr>
                <w:noProof/>
                <w:sz w:val="22"/>
                <w:szCs w:val="22"/>
                <w:lang w:val="mk-MK" w:eastAsia="en-US"/>
              </w:rPr>
              <w:t xml:space="preserve"> State Statistical Office</w:t>
            </w:r>
          </w:p>
          <w:p w:rsidR="00106D33" w:rsidRPr="002A7B86" w:rsidRDefault="00106D33" w:rsidP="00E55BFD">
            <w:pPr>
              <w:rPr>
                <w:lang w:val="mk-MK" w:eastAsia="en-US"/>
              </w:rPr>
            </w:pPr>
          </w:p>
        </w:tc>
      </w:tr>
    </w:tbl>
    <w:p w:rsidR="00106D33" w:rsidRPr="002A7B86" w:rsidRDefault="00106D33" w:rsidP="00E55BFD">
      <w:pPr>
        <w:rPr>
          <w:sz w:val="22"/>
          <w:szCs w:val="22"/>
          <w:lang w:val="ru-RU"/>
        </w:rPr>
      </w:pPr>
    </w:p>
    <w:p w:rsidR="00106D33" w:rsidRPr="002A7B86" w:rsidRDefault="00106D33">
      <w:pPr>
        <w:rPr>
          <w:sz w:val="22"/>
          <w:szCs w:val="22"/>
          <w:lang w:val="ru-RU"/>
        </w:rPr>
      </w:pPr>
    </w:p>
    <w:sectPr w:rsidR="00106D33" w:rsidRPr="002A7B86" w:rsidSect="00380D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_Garamond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70545"/>
    <w:multiLevelType w:val="hybridMultilevel"/>
    <w:tmpl w:val="0B2E4512"/>
    <w:lvl w:ilvl="0" w:tplc="6FF8035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D4E"/>
    <w:rsid w:val="0000369A"/>
    <w:rsid w:val="00086A54"/>
    <w:rsid w:val="00095614"/>
    <w:rsid w:val="000A2036"/>
    <w:rsid w:val="000D16F1"/>
    <w:rsid w:val="000D7A91"/>
    <w:rsid w:val="000F2826"/>
    <w:rsid w:val="00106D33"/>
    <w:rsid w:val="0014525B"/>
    <w:rsid w:val="00177685"/>
    <w:rsid w:val="00181069"/>
    <w:rsid w:val="00193492"/>
    <w:rsid w:val="001B527A"/>
    <w:rsid w:val="001C070F"/>
    <w:rsid w:val="001D4649"/>
    <w:rsid w:val="001E0FF1"/>
    <w:rsid w:val="00200A32"/>
    <w:rsid w:val="002429CC"/>
    <w:rsid w:val="002A71BA"/>
    <w:rsid w:val="002A72B0"/>
    <w:rsid w:val="002A7B86"/>
    <w:rsid w:val="002B12EA"/>
    <w:rsid w:val="002C6F9C"/>
    <w:rsid w:val="002E6282"/>
    <w:rsid w:val="002E730A"/>
    <w:rsid w:val="002E77EF"/>
    <w:rsid w:val="00380D4E"/>
    <w:rsid w:val="00391907"/>
    <w:rsid w:val="003E13D7"/>
    <w:rsid w:val="003F3B09"/>
    <w:rsid w:val="004C043B"/>
    <w:rsid w:val="004F4406"/>
    <w:rsid w:val="0052235B"/>
    <w:rsid w:val="00561322"/>
    <w:rsid w:val="00586A8D"/>
    <w:rsid w:val="005D461A"/>
    <w:rsid w:val="005F3EC3"/>
    <w:rsid w:val="006235AF"/>
    <w:rsid w:val="00632047"/>
    <w:rsid w:val="00640A19"/>
    <w:rsid w:val="00643062"/>
    <w:rsid w:val="0067349F"/>
    <w:rsid w:val="00673547"/>
    <w:rsid w:val="00676751"/>
    <w:rsid w:val="006A1861"/>
    <w:rsid w:val="006A3F85"/>
    <w:rsid w:val="006E4C4F"/>
    <w:rsid w:val="006F0F0B"/>
    <w:rsid w:val="006F4185"/>
    <w:rsid w:val="00705215"/>
    <w:rsid w:val="00741C3E"/>
    <w:rsid w:val="0074521A"/>
    <w:rsid w:val="007870E3"/>
    <w:rsid w:val="007E5414"/>
    <w:rsid w:val="00865744"/>
    <w:rsid w:val="008705CB"/>
    <w:rsid w:val="008907ED"/>
    <w:rsid w:val="008B291C"/>
    <w:rsid w:val="009939F8"/>
    <w:rsid w:val="009C294C"/>
    <w:rsid w:val="009C7142"/>
    <w:rsid w:val="009E3794"/>
    <w:rsid w:val="009E39D7"/>
    <w:rsid w:val="00A020CE"/>
    <w:rsid w:val="00A07BFB"/>
    <w:rsid w:val="00A34B16"/>
    <w:rsid w:val="00A5058F"/>
    <w:rsid w:val="00A71275"/>
    <w:rsid w:val="00A92EC4"/>
    <w:rsid w:val="00AA4A59"/>
    <w:rsid w:val="00AD12FB"/>
    <w:rsid w:val="00B004C1"/>
    <w:rsid w:val="00B032F9"/>
    <w:rsid w:val="00B27A26"/>
    <w:rsid w:val="00B554BC"/>
    <w:rsid w:val="00B702E6"/>
    <w:rsid w:val="00B9786B"/>
    <w:rsid w:val="00BA2FCD"/>
    <w:rsid w:val="00C33D70"/>
    <w:rsid w:val="00C5789C"/>
    <w:rsid w:val="00C81F74"/>
    <w:rsid w:val="00C91DAC"/>
    <w:rsid w:val="00CC2B6D"/>
    <w:rsid w:val="00CE1E5D"/>
    <w:rsid w:val="00CE6513"/>
    <w:rsid w:val="00D136F5"/>
    <w:rsid w:val="00D41AA7"/>
    <w:rsid w:val="00D57F7F"/>
    <w:rsid w:val="00D6672C"/>
    <w:rsid w:val="00DC32D7"/>
    <w:rsid w:val="00E55BFD"/>
    <w:rsid w:val="00E67707"/>
    <w:rsid w:val="00EE6CA6"/>
    <w:rsid w:val="00F47CC2"/>
    <w:rsid w:val="00F5159C"/>
    <w:rsid w:val="00F619B7"/>
    <w:rsid w:val="00F8353C"/>
    <w:rsid w:val="00FA0EFD"/>
    <w:rsid w:val="00FB5E06"/>
    <w:rsid w:val="00FC3649"/>
    <w:rsid w:val="00FC5676"/>
    <w:rsid w:val="00FF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D4E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561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7CC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5614"/>
    <w:pPr>
      <w:keepNext/>
      <w:ind w:left="360"/>
      <w:outlineLvl w:val="2"/>
    </w:pPr>
    <w:rPr>
      <w:rFonts w:ascii="M_Garamond" w:hAnsi="M_Garamond" w:cs="M_Garamond"/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5614"/>
    <w:rPr>
      <w:rFonts w:ascii="Arial" w:hAnsi="Arial" w:cs="Arial"/>
      <w:b/>
      <w:bCs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47CC2"/>
    <w:rPr>
      <w:rFonts w:ascii="Cambria" w:hAnsi="Cambria" w:cs="Cambria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95614"/>
    <w:rPr>
      <w:rFonts w:ascii="M_Garamond" w:hAnsi="M_Garamond" w:cs="M_Garamond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522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235B"/>
    <w:rPr>
      <w:rFonts w:ascii="Tahoma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rsid w:val="00FC567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C56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C5676"/>
    <w:rPr>
      <w:rFonts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C56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C56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576</Words>
  <Characters>3287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 3: Спречување на насилството и заштита на правата на жените во услови на мир, конфликти и хуманитарни катастрофи</dc:title>
  <dc:subject/>
  <dc:creator>user</dc:creator>
  <cp:keywords/>
  <dc:description/>
  <cp:lastModifiedBy>Makedonka Cestojnova</cp:lastModifiedBy>
  <cp:revision>2</cp:revision>
  <cp:lastPrinted>2012-11-14T11:39:00Z</cp:lastPrinted>
  <dcterms:created xsi:type="dcterms:W3CDTF">2013-04-19T11:11:00Z</dcterms:created>
  <dcterms:modified xsi:type="dcterms:W3CDTF">2013-04-19T11:11:00Z</dcterms:modified>
</cp:coreProperties>
</file>