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5B20" w14:textId="0DB6AA05" w:rsidR="005C1E65" w:rsidRDefault="00F87CD6">
      <w:pPr>
        <w:rPr>
          <w:lang w:val="mk-MK"/>
        </w:rPr>
      </w:pPr>
      <w:r>
        <w:rPr>
          <w:lang w:val="mk-MK"/>
        </w:rPr>
        <w:t>Барање 14-4915/1</w:t>
      </w:r>
    </w:p>
    <w:p w14:paraId="6DAD4AF5" w14:textId="77777777" w:rsidR="00F87CD6" w:rsidRPr="00F87CD6" w:rsidRDefault="00F87CD6" w:rsidP="00F87CD6">
      <w:pPr>
        <w:suppressAutoHyphens/>
        <w:spacing w:before="60" w:after="60" w:line="240" w:lineRule="auto"/>
        <w:contextualSpacing/>
        <w:jc w:val="both"/>
        <w:rPr>
          <w:rFonts w:ascii="StobiSerif Bold" w:eastAsia="StobiSerif Bold" w:hAnsi="StobiSerif Bold" w:cs="StobiSerif Bold"/>
          <w:b/>
          <w:bCs/>
          <w:color w:val="000000"/>
          <w:kern w:val="2"/>
          <w:lang w:val="mk-MK" w:eastAsia="zh-CN"/>
        </w:rPr>
      </w:pPr>
      <w:r w:rsidRPr="00F87CD6">
        <w:rPr>
          <w:rFonts w:ascii="StobiSerif Bold" w:eastAsia="StobiSerif Bold" w:hAnsi="StobiSerif Bold" w:cs="StobiSerif Bold"/>
          <w:b/>
          <w:bCs/>
          <w:color w:val="000000"/>
          <w:kern w:val="2"/>
          <w:lang w:val="mk-MK" w:eastAsia="en-GB"/>
        </w:rPr>
        <w:t>1) Дали Секторската работна група за интеграција на Ромите има изработено Акциски план за некој од програмските документи на ИПА III, каде е вклучена родовата перспектива?</w:t>
      </w:r>
    </w:p>
    <w:p w14:paraId="2C217AF0" w14:textId="77777777" w:rsidR="00F87CD6" w:rsidRPr="00F87CD6" w:rsidRDefault="00F87CD6" w:rsidP="00F87CD6">
      <w:pPr>
        <w:suppressAutoHyphens/>
        <w:spacing w:before="60" w:after="60" w:line="240" w:lineRule="auto"/>
        <w:contextualSpacing/>
        <w:jc w:val="both"/>
        <w:rPr>
          <w:rFonts w:ascii="StobiSerif Bold" w:eastAsia="StobiSerif Bold" w:hAnsi="StobiSerif Bold" w:cs="StobiSerif Bold"/>
          <w:b/>
          <w:bCs/>
          <w:color w:val="000000"/>
          <w:kern w:val="2"/>
          <w:lang w:val="mk-MK" w:eastAsia="en-GB"/>
        </w:rPr>
      </w:pPr>
    </w:p>
    <w:p w14:paraId="1B760C40"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Секторската работна група за интеграција на Ромите нема изработено Акциски план за некој од програмските документи од ИПА III, поради тоа што таков вид на документ засега не е предвиден, ниту ИПА структурата и ресорните министерства добиле насоки</w:t>
      </w:r>
      <w:r w:rsidRPr="00F87CD6">
        <w:rPr>
          <w:rFonts w:ascii="Times New Roman" w:eastAsia="StobiSerif Regular" w:hAnsi="Times New Roman" w:cs="StobiSerif Regular"/>
          <w:color w:val="000000"/>
          <w:kern w:val="2"/>
          <w:lang w:val="mk-MK" w:eastAsia="en-GB"/>
        </w:rPr>
        <w:t xml:space="preserve"> </w:t>
      </w:r>
      <w:r w:rsidRPr="00F87CD6">
        <w:rPr>
          <w:rFonts w:ascii="StobiSerif Regular" w:eastAsia="StobiSerif Regular" w:hAnsi="StobiSerif Regular" w:cs="StobiSerif Regular"/>
          <w:color w:val="000000"/>
          <w:kern w:val="2"/>
          <w:lang w:val="mk-MK" w:eastAsia="en-GB"/>
        </w:rPr>
        <w:t>од СЕП/Делегација на ЕУ за негова изработка.</w:t>
      </w:r>
    </w:p>
    <w:p w14:paraId="1AC0BC88"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p>
    <w:p w14:paraId="6F0D799B"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По однос на изработката на програмските документи од ИПА III, Секторската работна група за интеграција на Ромите учествуваше во разгледување и надополнување на нацрт текстот на Стратешкиот одговор за ИПА III за програмскиот период 2021-2027. Истиот се презентираше на Седмата пленарна седница на Секторската работна група за образование, вработување и социјална политика, одржана на 16.11.2020 година, на која беа поканети и</w:t>
      </w:r>
      <w:r w:rsidRPr="00F87CD6">
        <w:rPr>
          <w:rFonts w:ascii="Times New Roman" w:eastAsia="StobiSerif Regular" w:hAnsi="Times New Roman" w:cs="StobiSerif Regular"/>
          <w:color w:val="000000"/>
          <w:kern w:val="2"/>
          <w:lang w:val="mk-MK" w:eastAsia="en-GB"/>
        </w:rPr>
        <w:t xml:space="preserve"> </w:t>
      </w:r>
      <w:r w:rsidRPr="00F87CD6">
        <w:rPr>
          <w:rFonts w:ascii="StobiSerif Regular" w:eastAsia="StobiSerif Regular" w:hAnsi="StobiSerif Regular" w:cs="StobiSerif Regular"/>
          <w:color w:val="000000"/>
          <w:kern w:val="2"/>
          <w:lang w:val="mk-MK" w:eastAsia="en-GB"/>
        </w:rPr>
        <w:t>учествуваа членови од Секторската работна група за интеграција на Ромите.</w:t>
      </w:r>
    </w:p>
    <w:p w14:paraId="72FF2518"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p>
    <w:p w14:paraId="413EF83D"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 xml:space="preserve">Имено, при планирање на интервенциите, индикаторите на </w:t>
      </w:r>
      <w:proofErr w:type="spellStart"/>
      <w:r w:rsidRPr="00F87CD6">
        <w:rPr>
          <w:rFonts w:ascii="StobiSerif Regular" w:eastAsia="StobiSerif Regular" w:hAnsi="StobiSerif Regular" w:cs="StobiSerif Regular"/>
          <w:color w:val="000000"/>
          <w:kern w:val="2"/>
          <w:lang w:val="mk-MK" w:eastAsia="en-GB"/>
        </w:rPr>
        <w:t>базно</w:t>
      </w:r>
      <w:proofErr w:type="spellEnd"/>
      <w:r w:rsidRPr="00F87CD6">
        <w:rPr>
          <w:rFonts w:ascii="StobiSerif Regular" w:eastAsia="StobiSerif Regular" w:hAnsi="StobiSerif Regular" w:cs="StobiSerif Regular"/>
          <w:color w:val="000000"/>
          <w:kern w:val="2"/>
          <w:lang w:val="mk-MK" w:eastAsia="en-GB"/>
        </w:rPr>
        <w:t xml:space="preserve"> ниво и целните вредности за постигнување во 2027 година, Стратешкиот одговор за ИПА III за програмскиот период 2021-2027 опфаќа вклученост на ромската заедница во интервенциите на хоризонтално ниво, а исто така по однос на индикаторите кои се однесуваат за оваа целна група е вклучена и родовата перспектива.</w:t>
      </w:r>
    </w:p>
    <w:p w14:paraId="27C61301"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p>
    <w:p w14:paraId="74D3D4D8" w14:textId="77777777" w:rsidR="00F87CD6" w:rsidRPr="00F87CD6" w:rsidRDefault="00F87CD6" w:rsidP="00F87CD6">
      <w:pPr>
        <w:suppressAutoHyphens/>
        <w:spacing w:before="120" w:after="120" w:line="240" w:lineRule="auto"/>
        <w:contextualSpacing/>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 xml:space="preserve">Линк до достапни документи од Стратешките одговори за ИПА III на веб-страната на Секретаријатот за европски прашања (СЕП): </w:t>
      </w:r>
      <w:hyperlink r:id="rId4" w:history="1">
        <w:r w:rsidRPr="00F87CD6">
          <w:rPr>
            <w:rFonts w:ascii="StobiSerif Regular" w:eastAsia="StobiSerif Regular" w:hAnsi="StobiSerif Regular" w:cs="StobiSerif Regular"/>
            <w:color w:val="0000FF"/>
            <w:kern w:val="2"/>
            <w:u w:val="single"/>
            <w:lang w:val="mk-MK" w:eastAsia="en-GB"/>
          </w:rPr>
          <w:t>https://www.sep.gov.mk/data/file/IPA/SR_EK_17_03_2021.rar</w:t>
        </w:r>
      </w:hyperlink>
      <w:r w:rsidRPr="00F87CD6">
        <w:rPr>
          <w:rFonts w:ascii="StobiSerif Regular" w:eastAsia="StobiSerif Regular" w:hAnsi="StobiSerif Regular" w:cs="StobiSerif Regular"/>
          <w:color w:val="000000"/>
          <w:kern w:val="2"/>
          <w:lang w:val="mk-MK" w:eastAsia="en-GB"/>
        </w:rPr>
        <w:t xml:space="preserve"> </w:t>
      </w:r>
    </w:p>
    <w:p w14:paraId="7D99473E"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p>
    <w:p w14:paraId="7C4F2190"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 xml:space="preserve">Линк до достапни документи за оваа пленарна седница на веб-страната на министерството: </w:t>
      </w:r>
    </w:p>
    <w:p w14:paraId="02C77DE3"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hyperlink r:id="rId5" w:history="1">
        <w:r w:rsidRPr="00F87CD6">
          <w:rPr>
            <w:rFonts w:ascii="StobiSerif Regular" w:eastAsia="StobiSerif Regular" w:hAnsi="StobiSerif Regular" w:cs="StobiSerif Regular"/>
            <w:color w:val="0000FF"/>
            <w:kern w:val="2"/>
            <w:u w:val="single"/>
            <w:lang w:val="mk-MK" w:eastAsia="en-GB"/>
          </w:rPr>
          <w:t>https://mtsp.gov.mk/srg-obrazovanie-vrabotuvanje-i-socijalna-politika.nspx</w:t>
        </w:r>
      </w:hyperlink>
      <w:r w:rsidRPr="00F87CD6">
        <w:rPr>
          <w:rFonts w:ascii="StobiSerif Regular" w:eastAsia="StobiSerif Regular" w:hAnsi="StobiSerif Regular" w:cs="StobiSerif Regular"/>
          <w:color w:val="000000"/>
          <w:kern w:val="2"/>
          <w:lang w:val="mk-MK" w:eastAsia="en-GB"/>
        </w:rPr>
        <w:t xml:space="preserve"> </w:t>
      </w:r>
    </w:p>
    <w:p w14:paraId="3A352895"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p>
    <w:p w14:paraId="2462C209"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 xml:space="preserve">Дополнително, на Деветтата пленарна седница на Секторската работна група за образование, вработување и социјална политика, одржана на 30.6.2021 година, се презентираа планираните акции/ проекти од нацрт </w:t>
      </w:r>
      <w:proofErr w:type="spellStart"/>
      <w:r w:rsidRPr="00F87CD6">
        <w:rPr>
          <w:rFonts w:ascii="StobiSerif Regular" w:eastAsia="StobiSerif Regular" w:hAnsi="StobiSerif Regular" w:cs="StobiSerif Regular"/>
          <w:color w:val="000000"/>
          <w:kern w:val="2"/>
          <w:lang w:val="mk-MK" w:eastAsia="en-GB"/>
        </w:rPr>
        <w:t>Акциската</w:t>
      </w:r>
      <w:proofErr w:type="spellEnd"/>
      <w:r w:rsidRPr="00F87CD6">
        <w:rPr>
          <w:rFonts w:ascii="StobiSerif Regular" w:eastAsia="StobiSerif Regular" w:hAnsi="StobiSerif Regular" w:cs="StobiSerif Regular"/>
          <w:color w:val="000000"/>
          <w:kern w:val="2"/>
          <w:lang w:val="mk-MK" w:eastAsia="en-GB"/>
        </w:rPr>
        <w:t xml:space="preserve"> програма за програмската 2022 година „ЕУ за подобро здравје и социјална политика и родова рамноправност”. Планираните акции/ проекти се насочени во областите безбедност и здравје при работа, поддршка на напорите за справување со родово-</w:t>
      </w:r>
      <w:proofErr w:type="spellStart"/>
      <w:r w:rsidRPr="00F87CD6">
        <w:rPr>
          <w:rFonts w:ascii="StobiSerif Regular" w:eastAsia="StobiSerif Regular" w:hAnsi="StobiSerif Regular" w:cs="StobiSerif Regular"/>
          <w:color w:val="000000"/>
          <w:kern w:val="2"/>
          <w:lang w:val="mk-MK" w:eastAsia="en-GB"/>
        </w:rPr>
        <w:t>базираното</w:t>
      </w:r>
      <w:proofErr w:type="spellEnd"/>
      <w:r w:rsidRPr="00F87CD6">
        <w:rPr>
          <w:rFonts w:ascii="StobiSerif Regular" w:eastAsia="StobiSerif Regular" w:hAnsi="StobiSerif Regular" w:cs="StobiSerif Regular"/>
          <w:color w:val="000000"/>
          <w:kern w:val="2"/>
          <w:lang w:val="mk-MK" w:eastAsia="en-GB"/>
        </w:rPr>
        <w:t xml:space="preserve"> и семејното насилство и подобрување на квалитетот на социјалните услуги преку поддршка на системот за мониторинг и евалуација, како и унапредување на системот за лиценцирање. Имено, при планирање на областите на интервенција/ проектите, индикаторите на </w:t>
      </w:r>
      <w:proofErr w:type="spellStart"/>
      <w:r w:rsidRPr="00F87CD6">
        <w:rPr>
          <w:rFonts w:ascii="StobiSerif Regular" w:eastAsia="StobiSerif Regular" w:hAnsi="StobiSerif Regular" w:cs="StobiSerif Regular"/>
          <w:color w:val="000000"/>
          <w:kern w:val="2"/>
          <w:lang w:val="mk-MK" w:eastAsia="en-GB"/>
        </w:rPr>
        <w:t>базно</w:t>
      </w:r>
      <w:proofErr w:type="spellEnd"/>
      <w:r w:rsidRPr="00F87CD6">
        <w:rPr>
          <w:rFonts w:ascii="StobiSerif Regular" w:eastAsia="StobiSerif Regular" w:hAnsi="StobiSerif Regular" w:cs="StobiSerif Regular"/>
          <w:color w:val="000000"/>
          <w:kern w:val="2"/>
          <w:lang w:val="mk-MK" w:eastAsia="en-GB"/>
        </w:rPr>
        <w:t xml:space="preserve"> ниво и целните вредности за постигнување во 2027 година, во овој програмски документ од ИПА III помошта за програмската 2022 година е планирано вклученост на ромската заедница посебно во поддршка на напорите за справување со родово-</w:t>
      </w:r>
      <w:proofErr w:type="spellStart"/>
      <w:r w:rsidRPr="00F87CD6">
        <w:rPr>
          <w:rFonts w:ascii="StobiSerif Regular" w:eastAsia="StobiSerif Regular" w:hAnsi="StobiSerif Regular" w:cs="StobiSerif Regular"/>
          <w:color w:val="000000"/>
          <w:kern w:val="2"/>
          <w:lang w:val="mk-MK" w:eastAsia="en-GB"/>
        </w:rPr>
        <w:t>базираното</w:t>
      </w:r>
      <w:proofErr w:type="spellEnd"/>
      <w:r w:rsidRPr="00F87CD6">
        <w:rPr>
          <w:rFonts w:ascii="StobiSerif Regular" w:eastAsia="StobiSerif Regular" w:hAnsi="StobiSerif Regular" w:cs="StobiSerif Regular"/>
          <w:color w:val="000000"/>
          <w:kern w:val="2"/>
          <w:lang w:val="mk-MK" w:eastAsia="en-GB"/>
        </w:rPr>
        <w:t xml:space="preserve"> и семејното насилство.</w:t>
      </w:r>
    </w:p>
    <w:p w14:paraId="7BBA9EF2"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p>
    <w:p w14:paraId="41709549"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 xml:space="preserve">Прилог: </w:t>
      </w:r>
      <w:r w:rsidRPr="00F87CD6">
        <w:rPr>
          <w:rFonts w:ascii="StobiSerif Regular" w:eastAsia="StobiSerif Regular" w:hAnsi="StobiSerif Regular" w:cs="StobiSerif Regular"/>
          <w:color w:val="000000"/>
          <w:kern w:val="2"/>
          <w:lang w:val="mk-MK" w:eastAsia="en-GB"/>
        </w:rPr>
        <w:tab/>
      </w:r>
    </w:p>
    <w:p w14:paraId="171BF69A" w14:textId="77777777" w:rsidR="00F87CD6" w:rsidRPr="00F87CD6" w:rsidRDefault="00F87CD6" w:rsidP="00F87CD6">
      <w:pPr>
        <w:suppressAutoHyphens/>
        <w:spacing w:before="120" w:after="12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Нацрт верзија на програм</w:t>
      </w:r>
      <w:r w:rsidRPr="00F87CD6">
        <w:rPr>
          <w:rFonts w:ascii="Times New Roman" w:eastAsia="StobiSerif Regular" w:hAnsi="Times New Roman" w:cs="StobiSerif Regular"/>
          <w:color w:val="000000"/>
          <w:kern w:val="2"/>
          <w:lang w:val="mk-MK" w:eastAsia="en-GB"/>
        </w:rPr>
        <w:t>с</w:t>
      </w:r>
      <w:r w:rsidRPr="00F87CD6">
        <w:rPr>
          <w:rFonts w:ascii="StobiSerif Regular" w:eastAsia="StobiSerif Regular" w:hAnsi="StobiSerif Regular" w:cs="StobiSerif Regular"/>
          <w:color w:val="000000"/>
          <w:kern w:val="2"/>
          <w:lang w:val="mk-MK" w:eastAsia="en-GB"/>
        </w:rPr>
        <w:t>киот документ од ИПА III помошта за програмската 2022 година „ЕУ за подобро здравје и социјална политика и родова рамноправност” дистрибуиран по електронски пат во рамки на Секторската работна група за образование, вработување и социјална политика. Овој програмски документ се</w:t>
      </w:r>
      <w:r w:rsidRPr="00F87CD6">
        <w:rPr>
          <w:rFonts w:ascii="Times New Roman" w:eastAsia="StobiSerif Regular" w:hAnsi="Times New Roman" w:cs="StobiSerif Regular"/>
          <w:color w:val="000000"/>
          <w:kern w:val="2"/>
          <w:lang w:val="mk-MK" w:eastAsia="en-GB"/>
        </w:rPr>
        <w:t xml:space="preserve"> </w:t>
      </w:r>
      <w:r w:rsidRPr="00F87CD6">
        <w:rPr>
          <w:rFonts w:ascii="StobiSerif Regular" w:eastAsia="StobiSerif Regular" w:hAnsi="StobiSerif Regular" w:cs="StobiSerif Regular"/>
          <w:color w:val="000000"/>
          <w:kern w:val="2"/>
          <w:lang w:val="mk-MK" w:eastAsia="en-GB"/>
        </w:rPr>
        <w:t>уште е во фаза на доработка.</w:t>
      </w:r>
    </w:p>
    <w:p w14:paraId="26D026B2" w14:textId="77777777" w:rsidR="00F87CD6" w:rsidRPr="00F87CD6" w:rsidRDefault="00F87CD6" w:rsidP="00F87CD6">
      <w:pPr>
        <w:suppressAutoHyphens/>
        <w:spacing w:before="60" w:after="60" w:line="240" w:lineRule="auto"/>
        <w:contextualSpacing/>
        <w:jc w:val="both"/>
        <w:rPr>
          <w:rFonts w:ascii="StobiSerif Regular" w:eastAsia="StobiSerif Regular" w:hAnsi="StobiSerif Regular" w:cs="StobiSerif Regular"/>
          <w:color w:val="000000"/>
          <w:kern w:val="2"/>
          <w:lang w:val="mk-MK" w:eastAsia="en-GB"/>
        </w:rPr>
      </w:pPr>
    </w:p>
    <w:p w14:paraId="1A694FB6" w14:textId="77777777" w:rsidR="00F87CD6" w:rsidRPr="00F87CD6" w:rsidRDefault="00F87CD6" w:rsidP="00F87CD6">
      <w:pPr>
        <w:suppressAutoHyphens/>
        <w:spacing w:before="60" w:after="60" w:line="240" w:lineRule="auto"/>
        <w:contextualSpacing/>
        <w:jc w:val="both"/>
        <w:rPr>
          <w:rFonts w:ascii="StobiSerif Bold" w:eastAsia="StobiSerif Bold" w:hAnsi="StobiSerif Bold" w:cs="StobiSerif Bold"/>
          <w:b/>
          <w:bCs/>
          <w:color w:val="000000"/>
          <w:kern w:val="2"/>
          <w:lang w:val="mk-MK" w:eastAsia="en-GB"/>
        </w:rPr>
      </w:pPr>
      <w:r w:rsidRPr="00F87CD6">
        <w:rPr>
          <w:rFonts w:ascii="StobiSerif Bold" w:eastAsia="StobiSerif Bold" w:hAnsi="StobiSerif Bold" w:cs="StobiSerif Bold"/>
          <w:b/>
          <w:bCs/>
          <w:color w:val="000000"/>
          <w:kern w:val="2"/>
          <w:lang w:val="mk-MK" w:eastAsia="en-GB"/>
        </w:rPr>
        <w:lastRenderedPageBreak/>
        <w:t>1) Доколку имате изготвено каков било Акциски документ за програмирањето на ИПА III, Ве молиме доставете ни го во прилог.</w:t>
      </w:r>
    </w:p>
    <w:p w14:paraId="5523B2D0" w14:textId="77777777" w:rsidR="00F87CD6" w:rsidRPr="00F87CD6" w:rsidRDefault="00F87CD6" w:rsidP="00F87CD6">
      <w:pPr>
        <w:suppressAutoHyphens/>
        <w:spacing w:before="60" w:after="60" w:line="240" w:lineRule="auto"/>
        <w:contextualSpacing/>
        <w:jc w:val="both"/>
        <w:rPr>
          <w:rFonts w:ascii="StobiSerif Regular" w:eastAsia="StobiSerif Regular" w:hAnsi="StobiSerif Regular" w:cs="StobiSerif Regular"/>
          <w:color w:val="000000"/>
          <w:kern w:val="2"/>
          <w:lang w:val="mk-MK" w:eastAsia="en-GB"/>
        </w:rPr>
      </w:pPr>
    </w:p>
    <w:p w14:paraId="558FAA28" w14:textId="77777777" w:rsidR="00F87CD6" w:rsidRPr="00F87CD6" w:rsidRDefault="00F87CD6" w:rsidP="00F87CD6">
      <w:pPr>
        <w:suppressAutoHyphens/>
        <w:spacing w:before="60" w:after="60" w:line="240" w:lineRule="auto"/>
        <w:contextualSpacing/>
        <w:jc w:val="both"/>
        <w:rPr>
          <w:rFonts w:ascii="StobiSerif Regular" w:eastAsia="StobiSerif Regular" w:hAnsi="StobiSerif Regular" w:cs="StobiSerif Regular"/>
          <w:color w:val="000000"/>
          <w:kern w:val="2"/>
          <w:lang w:val="mk-MK" w:eastAsia="en-GB"/>
        </w:rPr>
      </w:pPr>
      <w:r w:rsidRPr="00F87CD6">
        <w:rPr>
          <w:rFonts w:ascii="StobiSerif Regular" w:eastAsia="StobiSerif Regular" w:hAnsi="StobiSerif Regular" w:cs="StobiSerif Regular"/>
          <w:color w:val="000000"/>
          <w:kern w:val="2"/>
          <w:lang w:val="mk-MK" w:eastAsia="en-GB"/>
        </w:rPr>
        <w:t>Види одговор на претходно прашање.</w:t>
      </w:r>
    </w:p>
    <w:p w14:paraId="037F9D26" w14:textId="77777777" w:rsidR="00F87CD6" w:rsidRPr="00F87CD6" w:rsidRDefault="00F87CD6" w:rsidP="00F87CD6">
      <w:pPr>
        <w:suppressAutoHyphens/>
        <w:spacing w:before="60" w:after="60" w:line="240" w:lineRule="auto"/>
        <w:contextualSpacing/>
        <w:jc w:val="both"/>
        <w:rPr>
          <w:rFonts w:ascii="StobiSerif Regular" w:eastAsia="StobiSerif Regular" w:hAnsi="StobiSerif Regular" w:cs="StobiSerif Regular"/>
          <w:color w:val="000000"/>
          <w:kern w:val="2"/>
          <w:lang w:val="mk-MK" w:eastAsia="en-GB"/>
        </w:rPr>
      </w:pPr>
    </w:p>
    <w:p w14:paraId="51BC5B66" w14:textId="77777777" w:rsidR="00F87CD6" w:rsidRPr="00F87CD6" w:rsidRDefault="00F87CD6" w:rsidP="00F87CD6">
      <w:pPr>
        <w:suppressAutoHyphens/>
        <w:spacing w:before="60" w:after="60" w:line="240" w:lineRule="auto"/>
        <w:contextualSpacing/>
        <w:jc w:val="both"/>
        <w:rPr>
          <w:rFonts w:ascii="StobiSerif Bold" w:eastAsia="StobiSerif Bold" w:hAnsi="StobiSerif Bold" w:cs="StobiSerif Bold"/>
          <w:b/>
          <w:bCs/>
          <w:color w:val="000000"/>
          <w:kern w:val="2"/>
          <w:lang w:val="mk-MK" w:eastAsia="en-GB"/>
        </w:rPr>
      </w:pPr>
      <w:r w:rsidRPr="00F87CD6">
        <w:rPr>
          <w:rFonts w:ascii="StobiSerif Bold" w:eastAsia="StobiSerif Bold" w:hAnsi="StobiSerif Bold" w:cs="StobiSerif Bold"/>
          <w:b/>
          <w:bCs/>
          <w:color w:val="000000"/>
          <w:kern w:val="2"/>
          <w:lang w:val="mk-MK" w:eastAsia="en-GB"/>
        </w:rPr>
        <w:t>2) Дали во Секторската работна група за интеграција на Ромите учествуваат претставници на женски граѓански организации, односно граѓански организации кои во фокусот на својата работа го имаат унапредувањето на родовата еднаквост во државата?</w:t>
      </w:r>
    </w:p>
    <w:p w14:paraId="420B326B" w14:textId="77777777" w:rsidR="00F87CD6" w:rsidRPr="00F87CD6" w:rsidRDefault="00F87CD6" w:rsidP="00F87CD6">
      <w:pPr>
        <w:suppressAutoHyphens/>
        <w:spacing w:after="0" w:line="240" w:lineRule="auto"/>
        <w:jc w:val="both"/>
        <w:rPr>
          <w:rFonts w:ascii="StobiSerif Regular" w:eastAsia="Times New Roman" w:hAnsi="StobiSerif Regular" w:cs="Times New Roman"/>
          <w:bCs/>
          <w:lang w:val="mk-MK"/>
        </w:rPr>
      </w:pPr>
      <w:r w:rsidRPr="00F87CD6">
        <w:rPr>
          <w:rFonts w:ascii="StobiSerif Regular" w:eastAsia="Times New Roman" w:hAnsi="StobiSerif Regular" w:cs="Times New Roman"/>
          <w:bCs/>
          <w:sz w:val="24"/>
          <w:szCs w:val="24"/>
          <w:lang w:val="mk-MK" w:eastAsia="en-GB"/>
        </w:rPr>
        <w:t xml:space="preserve">Министерството за труд и социјална политика информира дека  сите процеси  и настани за креирање на политиките за подобрување на состојбата на Ромите во Република Северна Македонија  ги подготвува преку партиципативен и транспарентен процес, со вклучување и  консултации со граѓанските организации вклучително и оние кои работат на подобрување на состојбата на жената Ромка. </w:t>
      </w:r>
    </w:p>
    <w:p w14:paraId="33A52E66" w14:textId="62F1DBD0" w:rsidR="00F87CD6" w:rsidRDefault="00F87CD6">
      <w:pPr>
        <w:rPr>
          <w:lang w:val="mk-MK"/>
        </w:rPr>
      </w:pPr>
      <w:bookmarkStart w:id="0" w:name="_GoBack"/>
      <w:bookmarkEnd w:id="0"/>
    </w:p>
    <w:p w14:paraId="738AB5D1" w14:textId="77777777" w:rsidR="00F87CD6" w:rsidRPr="00F87CD6" w:rsidRDefault="00F87CD6">
      <w:pPr>
        <w:rPr>
          <w:lang w:val="mk-MK"/>
        </w:rPr>
      </w:pPr>
    </w:p>
    <w:sectPr w:rsidR="00F87CD6" w:rsidRPr="00F87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Bold">
    <w:altName w:val="Calibri"/>
    <w:charset w:val="00"/>
    <w:family w:val="modern"/>
    <w:pitch w:val="default"/>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30"/>
    <w:rsid w:val="005C1E65"/>
    <w:rsid w:val="005D2BF0"/>
    <w:rsid w:val="009F6F30"/>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A1C2"/>
  <w15:chartTrackingRefBased/>
  <w15:docId w15:val="{3FED58A5-345E-4433-9865-866BE1C8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tsp.gov.mk/srg-obrazovanie-vrabotuvanje-i-socijalna-politika.nspx" TargetMode="External"/><Relationship Id="rId4" Type="http://schemas.openxmlformats.org/officeDocument/2006/relationships/hyperlink" Target="https://www.sep.gov.mk/data/file/IPA/SR_EK_17_03_2021.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2023-03-06T09:19:00Z</dcterms:created>
  <dcterms:modified xsi:type="dcterms:W3CDTF">2023-03-06T09:21:00Z</dcterms:modified>
</cp:coreProperties>
</file>